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4000000">
      <w:pPr>
        <w:widowControl w:val="0"/>
        <w:spacing w:line="240" w:lineRule="auto"/>
        <w:ind/>
        <w:jc w:val="center"/>
        <w:rPr>
          <w:rFonts w:ascii="Times New Roman" w:hAnsi="Times New Roman"/>
          <w:sz w:val="28"/>
        </w:rPr>
      </w:pPr>
      <w:r>
        <w:rPr>
          <w:rFonts w:ascii="Times New Roman" w:hAnsi="Times New Roman"/>
          <w:sz w:val="28"/>
        </w:rPr>
        <w:t>Прокуратура Еланского района информирует</w:t>
      </w:r>
    </w:p>
    <w:p w14:paraId="05000000">
      <w:pPr>
        <w:widowControl w:val="1"/>
        <w:spacing w:after="0" w:line="240" w:lineRule="auto"/>
        <w:ind w:firstLine="540"/>
        <w:jc w:val="both"/>
        <w:rPr>
          <w:rFonts w:ascii="Times New Roman" w:hAnsi="Times New Roman"/>
          <w:sz w:val="28"/>
        </w:rPr>
      </w:pPr>
      <w:r>
        <w:rPr>
          <w:rFonts w:ascii="Times New Roman" w:hAnsi="Times New Roman"/>
          <w:sz w:val="28"/>
        </w:rPr>
        <w:t xml:space="preserve">В соответствии  </w:t>
      </w:r>
      <w:r>
        <w:rPr>
          <w:rFonts w:ascii="Times New Roman" w:hAnsi="Times New Roman"/>
          <w:sz w:val="28"/>
        </w:rPr>
        <w:t>ч</w:t>
      </w:r>
      <w:r>
        <w:rPr>
          <w:rFonts w:ascii="Times New Roman" w:hAnsi="Times New Roman"/>
          <w:sz w:val="28"/>
        </w:rPr>
        <w:t>.ч. 1,3 ст. 13.4 Федерального закона от 04.06.1998 № 89-ФЗ «Об отходах производства и потребления» накопление отходов допускается т</w:t>
      </w:r>
      <w:r>
        <w:rPr>
          <w:rFonts w:ascii="Times New Roman" w:hAnsi="Times New Roman"/>
          <w:sz w:val="28"/>
        </w:rPr>
        <w:t>олько в местах (на площадках) накопления отходов, соответствующих требованиям законодательства в области санитарно-эпидемиологического благополучия населения и иного законодательства Российской Федерации. Места (площадки) накопления твердых коммунальных от</w:t>
      </w:r>
      <w:r>
        <w:rPr>
          <w:rFonts w:ascii="Times New Roman" w:hAnsi="Times New Roman"/>
          <w:sz w:val="28"/>
        </w:rPr>
        <w:t xml:space="preserve">ходов должны соответствовать требованиям законодательства Российской Федерации, указанным </w:t>
      </w:r>
      <w:r>
        <w:rPr>
          <w:rFonts w:ascii="Times New Roman" w:hAnsi="Times New Roman"/>
          <w:sz w:val="28"/>
        </w:rPr>
        <w:t>в пункте</w:t>
      </w:r>
      <w:r>
        <w:rPr>
          <w:rFonts w:ascii="Times New Roman" w:hAnsi="Times New Roman"/>
          <w:sz w:val="28"/>
        </w:rPr>
        <w:t xml:space="preserve"> 1 настоящей статьи, а также правилам благоустройства муниципальных образований.</w:t>
      </w:r>
    </w:p>
    <w:p w14:paraId="06000000">
      <w:pPr>
        <w:widowControl w:val="1"/>
        <w:spacing w:after="0" w:line="240" w:lineRule="auto"/>
        <w:ind w:firstLine="540"/>
        <w:jc w:val="both"/>
        <w:rPr>
          <w:rFonts w:ascii="Times New Roman" w:hAnsi="Times New Roman"/>
          <w:sz w:val="28"/>
        </w:rPr>
      </w:pPr>
      <w:r>
        <w:rPr>
          <w:rFonts w:ascii="Times New Roman" w:hAnsi="Times New Roman"/>
          <w:sz w:val="28"/>
        </w:rPr>
        <w:t>Пунктом 3 Постановления Главного государственного санитарного врача РФ от 28.01</w:t>
      </w:r>
      <w:r>
        <w:rPr>
          <w:rFonts w:ascii="Times New Roman" w:hAnsi="Times New Roman"/>
          <w:sz w:val="28"/>
        </w:rPr>
        <w:t xml:space="preserve">.2021 № 3 «Об утверждении санитарных правил и норм </w:t>
      </w:r>
      <w:r>
        <w:rPr>
          <w:rFonts w:ascii="Times New Roman" w:hAnsi="Times New Roman"/>
          <w:sz w:val="28"/>
        </w:rPr>
        <w:t>СанПиН</w:t>
      </w:r>
      <w:r>
        <w:rPr>
          <w:rFonts w:ascii="Times New Roman" w:hAnsi="Times New Roman"/>
          <w:sz w:val="28"/>
        </w:rPr>
        <w:t xml:space="preserve">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w:t>
      </w:r>
      <w:r>
        <w:rPr>
          <w:rFonts w:ascii="Times New Roman" w:hAnsi="Times New Roman"/>
          <w:sz w:val="28"/>
        </w:rPr>
        <w:t xml:space="preserve">ному воздуху, почвам, жилым помещениям, эксплуатации производственных, общественных помещений, организации и проведению </w:t>
      </w:r>
      <w:r>
        <w:rPr>
          <w:rFonts w:ascii="Times New Roman" w:hAnsi="Times New Roman"/>
          <w:sz w:val="28"/>
        </w:rPr>
        <w:t>санитарно-противоэпидемических (профилактических) мероприятий» установлено, что специальные площадки должны</w:t>
      </w:r>
      <w:r>
        <w:rPr>
          <w:rFonts w:ascii="Times New Roman" w:hAnsi="Times New Roman"/>
          <w:sz w:val="28"/>
        </w:rPr>
        <w:t xml:space="preserve"> иметь подъездной путь, тверд</w:t>
      </w:r>
      <w:r>
        <w:rPr>
          <w:rFonts w:ascii="Times New Roman" w:hAnsi="Times New Roman"/>
          <w:sz w:val="28"/>
        </w:rPr>
        <w:t>ое (асфальтовое, бетонное) покрытие с уклоном для отведения талых и дождевых сточных вод, а также ограждение с трех сторон высотой не менее 1 метра.</w:t>
      </w:r>
    </w:p>
    <w:p w14:paraId="07000000">
      <w:pPr>
        <w:widowControl w:val="1"/>
        <w:ind w:firstLine="850" w:left="0"/>
        <w:jc w:val="both"/>
        <w:rPr>
          <w:rFonts w:ascii="Times New Roman" w:hAnsi="Times New Roman"/>
          <w:sz w:val="28"/>
        </w:rPr>
      </w:pPr>
      <w:r>
        <w:rPr>
          <w:rFonts w:ascii="Times New Roman" w:hAnsi="Times New Roman"/>
          <w:sz w:val="28"/>
        </w:rPr>
        <w:t xml:space="preserve">Так, за истекший период 2026 г. прокуратурой района выявлялись факты </w:t>
      </w:r>
      <w:r>
        <w:rPr>
          <w:rFonts w:ascii="Times New Roman" w:hAnsi="Times New Roman"/>
          <w:b w:val="0"/>
          <w:sz w:val="28"/>
        </w:rPr>
        <w:t>отсутствия (повреждения) обустроенных площадок ТКО, внесено 2 представления, по результатам рассмотрения представлений нарушения устранены, 5 площадок ТКО обустроены.</w:t>
      </w:r>
    </w:p>
    <w:p w14:paraId="08000000">
      <w:pPr>
        <w:widowControl w:val="0"/>
        <w:spacing w:line="240" w:lineRule="auto"/>
        <w:ind w:firstLine="0"/>
        <w:jc w:val="both"/>
        <w:rPr>
          <w:rFonts w:ascii="Times New Roman" w:hAnsi="Times New Roman"/>
          <w:sz w:val="28"/>
        </w:rPr>
      </w:pPr>
      <w:r>
        <w:rPr>
          <w:rFonts w:ascii="Times New Roman" w:hAnsi="Times New Roman"/>
          <w:sz w:val="28"/>
        </w:rPr>
        <w:t>Заместитель прокурора Еланского района</w:t>
      </w:r>
    </w:p>
    <w:p w14:paraId="09000000">
      <w:pPr>
        <w:widowControl w:val="0"/>
        <w:spacing w:line="240" w:lineRule="auto"/>
        <w:ind w:firstLine="0"/>
        <w:jc w:val="both"/>
        <w:rPr>
          <w:rFonts w:ascii="Times New Roman" w:hAnsi="Times New Roman"/>
          <w:sz w:val="28"/>
        </w:rPr>
      </w:pPr>
      <w:r>
        <w:rPr>
          <w:rFonts w:ascii="Times New Roman" w:hAnsi="Times New Roman"/>
          <w:sz w:val="28"/>
        </w:rPr>
        <w:t>младший советник юстиции                                                              Н.Н. Бережнова</w:t>
      </w:r>
    </w:p>
    <w:p w14:paraId="0A000000">
      <w:pPr>
        <w:widowControl w:val="0"/>
        <w:spacing w:line="240" w:lineRule="exact"/>
        <w:ind/>
        <w:jc w:val="center"/>
        <w:rPr>
          <w:rFonts w:ascii="Times New Roman" w:hAnsi="Times New Roman"/>
          <w:sz w:val="28"/>
        </w:rPr>
      </w:pPr>
    </w:p>
    <w:p w14:paraId="0B000000">
      <w:pPr>
        <w:widowControl w:val="0"/>
        <w:spacing w:line="240" w:lineRule="exact"/>
        <w:ind/>
        <w:jc w:val="center"/>
        <w:rPr>
          <w:rFonts w:ascii="Times New Roman" w:hAnsi="Times New Roman"/>
          <w:sz w:val="28"/>
        </w:rPr>
      </w:pPr>
    </w:p>
    <w:p w14:paraId="0C000000">
      <w:pPr>
        <w:widowControl w:val="0"/>
        <w:spacing w:line="240" w:lineRule="exact"/>
        <w:ind/>
        <w:jc w:val="center"/>
        <w:rPr>
          <w:rFonts w:ascii="Times New Roman" w:hAnsi="Times New Roman"/>
          <w:sz w:val="28"/>
        </w:rPr>
      </w:pPr>
    </w:p>
    <w:p w14:paraId="0D000000">
      <w:pPr>
        <w:widowControl w:val="0"/>
        <w:spacing w:line="240" w:lineRule="exact"/>
        <w:ind/>
        <w:jc w:val="center"/>
        <w:rPr>
          <w:rFonts w:ascii="Times New Roman" w:hAnsi="Times New Roman"/>
          <w:sz w:val="28"/>
        </w:rPr>
      </w:pPr>
    </w:p>
    <w:p w14:paraId="0E000000">
      <w:pPr>
        <w:widowControl w:val="0"/>
        <w:spacing w:line="240" w:lineRule="exact"/>
        <w:ind/>
        <w:jc w:val="center"/>
        <w:rPr>
          <w:rFonts w:ascii="Times New Roman" w:hAnsi="Times New Roman"/>
          <w:sz w:val="28"/>
        </w:rPr>
      </w:pPr>
    </w:p>
    <w:p w14:paraId="0F000000">
      <w:pPr>
        <w:widowControl w:val="0"/>
        <w:spacing w:line="240" w:lineRule="exact"/>
        <w:ind/>
        <w:jc w:val="center"/>
        <w:rPr>
          <w:rFonts w:ascii="Times New Roman" w:hAnsi="Times New Roman"/>
          <w:sz w:val="28"/>
        </w:rPr>
      </w:pPr>
    </w:p>
    <w:p w14:paraId="10000000">
      <w:pPr>
        <w:widowControl w:val="0"/>
        <w:spacing w:line="240" w:lineRule="exact"/>
        <w:ind/>
        <w:jc w:val="center"/>
        <w:rPr>
          <w:rFonts w:ascii="Times New Roman" w:hAnsi="Times New Roman"/>
          <w:sz w:val="28"/>
        </w:rPr>
      </w:pPr>
    </w:p>
    <w:p w14:paraId="11000000">
      <w:pPr>
        <w:widowControl w:val="0"/>
        <w:spacing w:line="240" w:lineRule="exact"/>
        <w:ind/>
        <w:jc w:val="center"/>
        <w:rPr>
          <w:rFonts w:ascii="Times New Roman" w:hAnsi="Times New Roman"/>
          <w:sz w:val="28"/>
        </w:rPr>
      </w:pPr>
    </w:p>
    <w:p w14:paraId="12000000">
      <w:pPr>
        <w:widowControl w:val="0"/>
        <w:spacing w:line="240" w:lineRule="exact"/>
        <w:ind/>
        <w:jc w:val="center"/>
        <w:rPr>
          <w:rFonts w:ascii="Times New Roman" w:hAnsi="Times New Roman"/>
          <w:sz w:val="28"/>
        </w:rPr>
      </w:pPr>
    </w:p>
    <w:p w14:paraId="13000000">
      <w:pPr>
        <w:widowControl w:val="0"/>
        <w:spacing w:line="240" w:lineRule="exact"/>
        <w:ind/>
        <w:jc w:val="center"/>
        <w:rPr>
          <w:rFonts w:ascii="Times New Roman" w:hAnsi="Times New Roman"/>
          <w:sz w:val="28"/>
        </w:rPr>
      </w:pPr>
    </w:p>
    <w:p w14:paraId="14000000">
      <w:pPr>
        <w:widowControl w:val="0"/>
        <w:spacing w:line="240" w:lineRule="exact"/>
        <w:ind/>
        <w:jc w:val="center"/>
        <w:rPr>
          <w:rFonts w:ascii="Times New Roman" w:hAnsi="Times New Roman"/>
          <w:sz w:val="28"/>
        </w:rPr>
      </w:pPr>
    </w:p>
    <w:p w14:paraId="15000000">
      <w:pPr>
        <w:widowControl w:val="0"/>
        <w:spacing w:line="240" w:lineRule="exact"/>
        <w:ind/>
        <w:jc w:val="center"/>
        <w:rPr>
          <w:rFonts w:ascii="Times New Roman" w:hAnsi="Times New Roman"/>
          <w:sz w:val="28"/>
        </w:rPr>
      </w:pPr>
    </w:p>
    <w:p w14:paraId="16000000">
      <w:pPr>
        <w:widowControl w:val="0"/>
        <w:spacing w:line="240" w:lineRule="exact"/>
        <w:ind/>
        <w:jc w:val="center"/>
        <w:rPr>
          <w:rFonts w:ascii="Times New Roman" w:hAnsi="Times New Roman"/>
          <w:sz w:val="28"/>
        </w:rPr>
      </w:pPr>
    </w:p>
    <w:p w14:paraId="17000000">
      <w:pPr>
        <w:widowControl w:val="0"/>
        <w:spacing w:line="240" w:lineRule="exact"/>
        <w:ind/>
        <w:jc w:val="center"/>
        <w:rPr>
          <w:rFonts w:ascii="Times New Roman" w:hAnsi="Times New Roman"/>
          <w:sz w:val="28"/>
        </w:rPr>
      </w:pPr>
    </w:p>
    <w:p w14:paraId="18000000">
      <w:pPr>
        <w:widowControl w:val="0"/>
        <w:spacing w:line="240" w:lineRule="exact"/>
        <w:ind/>
        <w:jc w:val="center"/>
        <w:rPr>
          <w:rFonts w:ascii="Times New Roman" w:hAnsi="Times New Roman"/>
          <w:sz w:val="28"/>
        </w:rPr>
      </w:pPr>
      <w:r>
        <w:rPr>
          <w:rFonts w:ascii="Times New Roman" w:hAnsi="Times New Roman"/>
          <w:sz w:val="28"/>
        </w:rPr>
        <w:t xml:space="preserve">Ответственность за дачу </w:t>
      </w:r>
      <w:r>
        <w:rPr>
          <w:rFonts w:ascii="Times New Roman" w:hAnsi="Times New Roman"/>
          <w:sz w:val="28"/>
        </w:rPr>
        <w:t>взятки</w:t>
      </w:r>
    </w:p>
    <w:tbl>
      <w:tblPr>
        <w:tblStyle w:val="Style_1"/>
        <w:tblpPr w:horzAnchor="margin" w:tblpX="7268" w:tblpY="331" w:vertAnchor="page"/>
        <w:tblW w:type="auto" w:w="0"/>
        <w:tblLayout w:type="fixed"/>
        <w:tblCellMar>
          <w:left w:type="dxa" w:w="0"/>
          <w:right w:type="dxa" w:w="0"/>
        </w:tblCellMar>
      </w:tblPr>
      <w:tblGrid>
        <w:gridCol w:w="1581"/>
      </w:tblGrid>
      <w:tr>
        <w:trPr>
          <w:trHeight w:hRule="atLeast" w:val="454"/>
        </w:trPr>
        <w:tc>
          <w:tcPr>
            <w:tcW w:type="dxa" w:w="1581"/>
            <w:tcMar>
              <w:left w:type="dxa" w:w="0"/>
              <w:right w:type="dxa" w:w="0"/>
            </w:tcMar>
          </w:tcPr>
          <w:p w14:paraId="19000000">
            <w:pPr>
              <w:pStyle w:val="Style_3"/>
              <w:widowControl w:val="0"/>
              <w:spacing w:line="240" w:lineRule="exact"/>
              <w:ind/>
            </w:pPr>
          </w:p>
        </w:tc>
      </w:tr>
    </w:tbl>
    <w:p w14:paraId="1A000000">
      <w:pPr>
        <w:widowControl w:val="0"/>
        <w:spacing w:after="0" w:line="240" w:lineRule="atLeast"/>
        <w:ind w:firstLine="709" w:left="0" w:right="140"/>
        <w:jc w:val="both"/>
        <w:rPr>
          <w:rFonts w:ascii="Times New Roman" w:hAnsi="Times New Roman"/>
          <w:sz w:val="28"/>
        </w:rPr>
      </w:pPr>
      <w:r>
        <w:rPr>
          <w:rFonts w:ascii="Times New Roman" w:hAnsi="Times New Roman"/>
          <w:sz w:val="28"/>
        </w:rPr>
        <w:t>Стать</w:t>
      </w:r>
      <w:r>
        <w:rPr>
          <w:rFonts w:ascii="Times New Roman" w:hAnsi="Times New Roman"/>
          <w:sz w:val="28"/>
        </w:rPr>
        <w:t xml:space="preserve">ей </w:t>
      </w:r>
      <w:r>
        <w:rPr>
          <w:rFonts w:ascii="Times New Roman" w:hAnsi="Times New Roman"/>
          <w:sz w:val="28"/>
        </w:rPr>
        <w:t>29</w:t>
      </w:r>
      <w:r>
        <w:rPr>
          <w:rFonts w:ascii="Times New Roman" w:hAnsi="Times New Roman"/>
          <w:sz w:val="28"/>
        </w:rPr>
        <w:t xml:space="preserve">1 Уголовного кодекса РФ предусмотрена уголовная ответственность за дачу </w:t>
      </w:r>
      <w:r>
        <w:rPr>
          <w:rFonts w:ascii="Times New Roman" w:hAnsi="Times New Roman"/>
          <w:sz w:val="28"/>
        </w:rPr>
        <w:t>взятки</w:t>
      </w:r>
      <w:r>
        <w:rPr>
          <w:rFonts w:ascii="Times New Roman" w:hAnsi="Times New Roman"/>
          <w:sz w:val="28"/>
        </w:rPr>
        <w:t>.</w:t>
      </w:r>
    </w:p>
    <w:p w14:paraId="1B000000">
      <w:pPr>
        <w:widowControl w:val="0"/>
        <w:spacing w:after="0" w:line="240" w:lineRule="atLeast"/>
        <w:ind w:firstLine="709" w:left="0" w:right="140"/>
        <w:jc w:val="both"/>
        <w:rPr>
          <w:rFonts w:ascii="Times New Roman" w:hAnsi="Times New Roman"/>
          <w:sz w:val="28"/>
        </w:rPr>
      </w:pPr>
      <w:r>
        <w:rPr>
          <w:rFonts w:ascii="Times New Roman" w:hAnsi="Times New Roman"/>
          <w:sz w:val="28"/>
        </w:rPr>
        <w:t xml:space="preserve">1. Дача взятки должностному лицу, иностранному должностному лицу либо должностному лицу публичной международной организации лично или через посредника (в том </w:t>
      </w:r>
      <w:r>
        <w:rPr>
          <w:rFonts w:ascii="Times New Roman" w:hAnsi="Times New Roman"/>
          <w:sz w:val="28"/>
        </w:rPr>
        <w:t>числе</w:t>
      </w:r>
      <w:r>
        <w:rPr>
          <w:rFonts w:ascii="Times New Roman" w:hAnsi="Times New Roman"/>
          <w:sz w:val="28"/>
        </w:rPr>
        <w:t xml:space="preserve"> когда взятка по указанию должностного лица передается иному физическому или юридическому лицу) -</w:t>
      </w:r>
    </w:p>
    <w:p w14:paraId="1C000000">
      <w:pPr>
        <w:widowControl w:val="0"/>
        <w:spacing w:after="0" w:line="240" w:lineRule="atLeast"/>
        <w:ind w:firstLine="709" w:left="0" w:right="140"/>
        <w:jc w:val="both"/>
        <w:rPr>
          <w:rFonts w:ascii="Times New Roman" w:hAnsi="Times New Roman"/>
          <w:sz w:val="28"/>
        </w:rPr>
      </w:pPr>
      <w:r>
        <w:rPr>
          <w:rFonts w:ascii="Times New Roman" w:hAnsi="Times New Roman"/>
          <w:sz w:val="28"/>
        </w:rPr>
        <w:t>наказывается штрафом в размере до пятисот тысяч рублей, или в размере заработной платы или иного дохода осужденного за период до одного года, или в размере от пятикратной до тридцатикратной суммы взятки, либо исправительными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принудительными работами на срок до трех лет, либо лишением свободы на срок до двух лет со штрафом в размере от пятикратной до десятикратной суммы взятки или без такового.</w:t>
      </w:r>
    </w:p>
    <w:p w14:paraId="1D000000">
      <w:pPr>
        <w:widowControl w:val="0"/>
        <w:spacing w:after="0" w:line="240" w:lineRule="atLeast"/>
        <w:ind w:firstLine="709" w:left="0" w:right="140"/>
        <w:jc w:val="both"/>
        <w:rPr>
          <w:rFonts w:ascii="Times New Roman" w:hAnsi="Times New Roman"/>
          <w:sz w:val="28"/>
        </w:rPr>
      </w:pPr>
      <w:r>
        <w:rPr>
          <w:rFonts w:ascii="Times New Roman" w:hAnsi="Times New Roman"/>
          <w:sz w:val="28"/>
        </w:rPr>
        <w:t xml:space="preserve">2. Дача взятки должностному лицу, иностранному должностному лицу либо должностному лицу публичной международной организации лично или через посредника (в том </w:t>
      </w:r>
      <w:r>
        <w:rPr>
          <w:rFonts w:ascii="Times New Roman" w:hAnsi="Times New Roman"/>
          <w:sz w:val="28"/>
        </w:rPr>
        <w:t>числе</w:t>
      </w:r>
      <w:r>
        <w:rPr>
          <w:rFonts w:ascii="Times New Roman" w:hAnsi="Times New Roman"/>
          <w:sz w:val="28"/>
        </w:rPr>
        <w:t xml:space="preserve"> когда взятка по указанию должностного лица передается иному физическому или юридическому лицу) в значительном размере -</w:t>
      </w:r>
    </w:p>
    <w:p w14:paraId="1E000000">
      <w:pPr>
        <w:widowControl w:val="0"/>
        <w:spacing w:after="0" w:line="240" w:lineRule="atLeast"/>
        <w:ind w:firstLine="709" w:left="0" w:right="140"/>
        <w:jc w:val="both"/>
        <w:rPr>
          <w:rFonts w:ascii="Times New Roman" w:hAnsi="Times New Roman"/>
          <w:sz w:val="28"/>
        </w:rPr>
      </w:pPr>
      <w:r>
        <w:rPr>
          <w:rFonts w:ascii="Times New Roman" w:hAnsi="Times New Roman"/>
          <w:sz w:val="28"/>
        </w:rPr>
        <w:t>наказывается штрафом в размере до одного миллиона рублей, или в размере заработной платы или иного дохода осужденного за период до двух лет, или в размере от десятикратной до сорокакратной суммы взятки, либо исправительными работами на срок от одного года до двух лет с лишением права занимать определенные должности или заниматься определенной деятельностью на срок от одного года до трех лет или без такового, либо лишением свободы на срок до пяти лет со штрафом в размере от пятикратной до пятнадцатикратной суммы взятки или без такового.</w:t>
      </w:r>
    </w:p>
    <w:p w14:paraId="1F000000">
      <w:pPr>
        <w:widowControl w:val="0"/>
        <w:spacing w:after="0" w:line="240" w:lineRule="atLeast"/>
        <w:ind w:firstLine="709" w:left="0" w:right="140"/>
        <w:jc w:val="both"/>
        <w:rPr>
          <w:rFonts w:ascii="Times New Roman" w:hAnsi="Times New Roman"/>
          <w:sz w:val="28"/>
        </w:rPr>
      </w:pPr>
      <w:r>
        <w:rPr>
          <w:rFonts w:ascii="Times New Roman" w:hAnsi="Times New Roman"/>
          <w:sz w:val="28"/>
        </w:rPr>
        <w:t xml:space="preserve">3. Дача взятки должностному лицу, иностранному должностному лицу либо должностному лицу публичной международной организации лично или через посредника (в том </w:t>
      </w:r>
      <w:r>
        <w:rPr>
          <w:rFonts w:ascii="Times New Roman" w:hAnsi="Times New Roman"/>
          <w:sz w:val="28"/>
        </w:rPr>
        <w:t>числе</w:t>
      </w:r>
      <w:r>
        <w:rPr>
          <w:rFonts w:ascii="Times New Roman" w:hAnsi="Times New Roman"/>
          <w:sz w:val="28"/>
        </w:rPr>
        <w:t xml:space="preserve"> когда взятка по указанию должностного лица передается иному физическому или юридическому лицу) за совершение заведомо незаконных действий (бездействие) -</w:t>
      </w:r>
    </w:p>
    <w:p w14:paraId="20000000">
      <w:pPr>
        <w:widowControl w:val="0"/>
        <w:spacing w:after="0" w:line="240" w:lineRule="atLeast"/>
        <w:ind w:firstLine="709" w:left="0" w:right="140"/>
        <w:jc w:val="both"/>
        <w:rPr>
          <w:rFonts w:ascii="Times New Roman" w:hAnsi="Times New Roman"/>
          <w:sz w:val="28"/>
        </w:rPr>
      </w:pPr>
      <w:r>
        <w:rPr>
          <w:rFonts w:ascii="Times New Roman" w:hAnsi="Times New Roman"/>
          <w:sz w:val="28"/>
        </w:rPr>
        <w:t>наказывается штрафом в размере до одного миллиона пятисот тысяч рублей, или в размере заработной платы или иного дохода осужденного за период до двух лет, или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восьми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14:paraId="21000000">
      <w:pPr>
        <w:widowControl w:val="0"/>
        <w:spacing w:after="0" w:line="240" w:lineRule="atLeast"/>
        <w:ind w:firstLine="709" w:left="0" w:right="140"/>
        <w:jc w:val="both"/>
        <w:rPr>
          <w:rFonts w:ascii="Times New Roman" w:hAnsi="Times New Roman"/>
          <w:sz w:val="28"/>
        </w:rPr>
      </w:pPr>
      <w:r>
        <w:rPr>
          <w:rFonts w:ascii="Times New Roman" w:hAnsi="Times New Roman"/>
          <w:sz w:val="28"/>
        </w:rPr>
        <w:t>4. Деяния, предусмотренные частями первой - третьей настоящей статьи, если они совершены:</w:t>
      </w:r>
    </w:p>
    <w:p w14:paraId="22000000">
      <w:pPr>
        <w:widowControl w:val="0"/>
        <w:spacing w:after="0" w:line="240" w:lineRule="atLeast"/>
        <w:ind w:firstLine="709" w:left="0" w:right="140"/>
        <w:jc w:val="both"/>
        <w:rPr>
          <w:rFonts w:ascii="Times New Roman" w:hAnsi="Times New Roman"/>
          <w:sz w:val="28"/>
        </w:rPr>
      </w:pPr>
      <w:r>
        <w:rPr>
          <w:rFonts w:ascii="Times New Roman" w:hAnsi="Times New Roman"/>
          <w:sz w:val="28"/>
        </w:rPr>
        <w:t>а) группой лиц по предварительному сговору или организованной группой;</w:t>
      </w:r>
    </w:p>
    <w:p w14:paraId="23000000">
      <w:pPr>
        <w:widowControl w:val="0"/>
        <w:spacing w:after="0" w:line="240" w:lineRule="atLeast"/>
        <w:ind w:firstLine="709" w:left="0" w:right="140"/>
        <w:jc w:val="both"/>
        <w:rPr>
          <w:rFonts w:ascii="Times New Roman" w:hAnsi="Times New Roman"/>
          <w:sz w:val="28"/>
        </w:rPr>
      </w:pPr>
      <w:r>
        <w:rPr>
          <w:rFonts w:ascii="Times New Roman" w:hAnsi="Times New Roman"/>
          <w:sz w:val="28"/>
        </w:rPr>
        <w:t>б) в крупном размере, -</w:t>
      </w:r>
    </w:p>
    <w:p w14:paraId="24000000">
      <w:pPr>
        <w:widowControl w:val="0"/>
        <w:spacing w:after="0" w:line="240" w:lineRule="atLeast"/>
        <w:ind w:firstLine="709" w:left="0" w:right="140"/>
        <w:jc w:val="both"/>
        <w:rPr>
          <w:rFonts w:ascii="Times New Roman" w:hAnsi="Times New Roman"/>
          <w:sz w:val="28"/>
        </w:rPr>
      </w:pPr>
      <w:r>
        <w:rPr>
          <w:rFonts w:ascii="Times New Roman" w:hAnsi="Times New Roman"/>
          <w:sz w:val="28"/>
        </w:rPr>
        <w:t>наказываются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или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или без такового либо лишением свободы на срок от семи до двенадцати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p w14:paraId="25000000">
      <w:pPr>
        <w:widowControl w:val="0"/>
        <w:spacing w:after="0" w:line="240" w:lineRule="atLeast"/>
        <w:ind w:firstLine="709" w:left="0" w:right="140"/>
        <w:jc w:val="both"/>
        <w:rPr>
          <w:rFonts w:ascii="Times New Roman" w:hAnsi="Times New Roman"/>
          <w:sz w:val="28"/>
        </w:rPr>
      </w:pPr>
      <w:r>
        <w:rPr>
          <w:rFonts w:ascii="Times New Roman" w:hAnsi="Times New Roman"/>
          <w:sz w:val="28"/>
        </w:rPr>
        <w:t>5. Деяния, предусмотренные частями первой - четвертой настоящей статьи, совершенные в особо крупном размере, -</w:t>
      </w:r>
    </w:p>
    <w:p w14:paraId="26000000">
      <w:pPr>
        <w:widowControl w:val="0"/>
        <w:spacing w:after="0" w:line="240" w:lineRule="atLeast"/>
        <w:ind w:firstLine="709" w:left="0" w:right="140"/>
        <w:jc w:val="both"/>
        <w:rPr>
          <w:rFonts w:ascii="Times New Roman" w:hAnsi="Times New Roman"/>
          <w:sz w:val="28"/>
        </w:rPr>
      </w:pPr>
      <w:r>
        <w:rPr>
          <w:rFonts w:ascii="Times New Roman" w:hAnsi="Times New Roman"/>
          <w:sz w:val="28"/>
        </w:rPr>
        <w:t>наказываются штрафом в размере от двух миллионов до четырех миллионов рублей, или в размере заработной платы или иного дохода осужденного за период от двух до четырех лет, или в размере от семидесятикратной до девяностократной суммы взятки с лишением права занимать определенные должности или заниматься определенной деятельностью на срок до десяти лет или без такового либо лишением свободы на срок от восьми до пятнадцати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десяти лет или без такового.</w:t>
      </w:r>
    </w:p>
    <w:p w14:paraId="27000000">
      <w:pPr>
        <w:widowControl w:val="0"/>
        <w:spacing w:after="0" w:line="240" w:lineRule="atLeast"/>
        <w:ind w:firstLine="709" w:left="0" w:right="140"/>
        <w:jc w:val="both"/>
        <w:rPr>
          <w:rFonts w:ascii="Times New Roman" w:hAnsi="Times New Roman"/>
          <w:sz w:val="28"/>
        </w:rPr>
      </w:pPr>
      <w:r>
        <w:rPr>
          <w:rFonts w:ascii="Times New Roman" w:hAnsi="Times New Roman"/>
          <w:sz w:val="28"/>
        </w:rPr>
        <w:t>Примечание. Лицо, давшее взятку, 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вымогательство взятки со стороны должностного лица, либо лицо после совершения преступления добровольно сообщило в орган, имеющий право возбудить уголовное дело, о даче взятки.</w:t>
      </w:r>
      <w:r>
        <w:rPr>
          <w:rFonts w:ascii="Times New Roman" w:hAnsi="Times New Roman"/>
          <w:sz w:val="28"/>
        </w:rPr>
        <w:t xml:space="preserve"> </w:t>
      </w:r>
      <w:bookmarkStart w:id="3" w:name="_GoBack"/>
      <w:bookmarkEnd w:id="3"/>
    </w:p>
    <w:p w14:paraId="28000000">
      <w:pPr>
        <w:widowControl w:val="0"/>
        <w:spacing w:after="0" w:before="0"/>
        <w:ind w:firstLine="540" w:left="0" w:right="0"/>
        <w:jc w:val="both"/>
        <w:rPr>
          <w:rFonts w:ascii="Times New Roman" w:hAnsi="Times New Roman"/>
          <w:b w:val="0"/>
          <w:sz w:val="28"/>
        </w:rPr>
      </w:pPr>
      <w:r>
        <w:rPr>
          <w:rFonts w:ascii="Times New Roman" w:hAnsi="Times New Roman"/>
          <w:b w:val="0"/>
          <w:sz w:val="28"/>
        </w:rPr>
        <w:t xml:space="preserve">Значительным размером взятки </w:t>
      </w:r>
      <w:r>
        <w:rPr>
          <w:rFonts w:ascii="Times New Roman" w:hAnsi="Times New Roman"/>
          <w:b w:val="0"/>
          <w:sz w:val="28"/>
        </w:rPr>
        <w:t>признаются сумма денег, стоимость ценных бумаг, иного имущества, услуг имущественного характера, иных имущественных прав, превышающие двадцать пять тысяч рублей, крупным размером взятки - превышающие сто пятьдесят тысяч рублей, особо крупным размером взятки - превышающие один миллион рублей.</w:t>
      </w:r>
    </w:p>
    <w:p w14:paraId="29000000">
      <w:pPr>
        <w:widowControl w:val="0"/>
        <w:spacing w:after="0" w:before="0"/>
        <w:ind w:firstLine="540" w:left="0" w:right="0"/>
        <w:jc w:val="both"/>
        <w:rPr>
          <w:b w:val="0"/>
        </w:rPr>
      </w:pPr>
      <w:r>
        <w:br/>
      </w:r>
    </w:p>
    <w:p w14:paraId="2A000000">
      <w:pPr>
        <w:widowControl w:val="0"/>
        <w:spacing w:after="0" w:line="240" w:lineRule="atLeast"/>
        <w:ind w:firstLine="709" w:left="0" w:right="140"/>
        <w:jc w:val="both"/>
        <w:rPr>
          <w:rFonts w:ascii="Times New Roman" w:hAnsi="Times New Roman"/>
          <w:sz w:val="28"/>
        </w:rPr>
      </w:pPr>
    </w:p>
    <w:p w14:paraId="2B000000">
      <w:pPr>
        <w:widowControl w:val="0"/>
        <w:spacing w:after="0" w:line="240" w:lineRule="exact"/>
        <w:ind/>
        <w:rPr>
          <w:rFonts w:ascii="Times New Roman" w:hAnsi="Times New Roman"/>
          <w:sz w:val="28"/>
        </w:rPr>
      </w:pPr>
    </w:p>
    <w:p w14:paraId="2C000000">
      <w:pPr>
        <w:widowControl w:val="0"/>
        <w:spacing w:after="0" w:line="240" w:lineRule="exact"/>
        <w:ind/>
        <w:rPr>
          <w:rFonts w:ascii="Times New Roman" w:hAnsi="Times New Roman"/>
          <w:sz w:val="28"/>
        </w:rPr>
      </w:pPr>
      <w:r>
        <w:rPr>
          <w:rFonts w:ascii="Times New Roman" w:hAnsi="Times New Roman"/>
          <w:sz w:val="28"/>
        </w:rPr>
        <w:t xml:space="preserve">Заместитель прокурора </w:t>
      </w:r>
      <w:r>
        <w:rPr>
          <w:rFonts w:ascii="Times New Roman" w:hAnsi="Times New Roman"/>
          <w:sz w:val="28"/>
        </w:rPr>
        <w:t>района</w:t>
      </w:r>
    </w:p>
    <w:p w14:paraId="2D000000">
      <w:pPr>
        <w:widowControl w:val="0"/>
        <w:spacing w:after="0" w:line="240" w:lineRule="exact"/>
        <w:ind/>
        <w:rPr>
          <w:rFonts w:ascii="Times New Roman" w:hAnsi="Times New Roman"/>
          <w:sz w:val="28"/>
        </w:rPr>
      </w:pPr>
    </w:p>
    <w:p w14:paraId="2E000000">
      <w:pPr>
        <w:widowControl w:val="0"/>
        <w:spacing w:after="0" w:line="240" w:lineRule="exact"/>
        <w:ind/>
        <w:rPr>
          <w:rFonts w:ascii="Times New Roman" w:hAnsi="Times New Roman"/>
          <w:sz w:val="28"/>
        </w:rPr>
      </w:pPr>
      <w:r>
        <w:rPr>
          <w:rFonts w:ascii="Times New Roman" w:hAnsi="Times New Roman"/>
          <w:sz w:val="28"/>
        </w:rPr>
        <w:t xml:space="preserve">младший </w:t>
      </w:r>
      <w:r>
        <w:rPr>
          <w:rFonts w:ascii="Times New Roman" w:hAnsi="Times New Roman"/>
          <w:sz w:val="28"/>
        </w:rPr>
        <w:t>советник юстиции</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Н.Н. Бережнова</w:t>
      </w:r>
    </w:p>
    <w:p w14:paraId="2F000000">
      <w:pPr>
        <w:widowControl w:val="0"/>
        <w:spacing w:after="0" w:line="240" w:lineRule="exact"/>
        <w:ind/>
        <w:rPr>
          <w:rFonts w:ascii="Times New Roman" w:hAnsi="Times New Roman"/>
          <w:sz w:val="28"/>
        </w:rPr>
      </w:pPr>
    </w:p>
    <w:tbl>
      <w:tblPr>
        <w:tblStyle w:val="Style_1"/>
        <w:tblW w:type="auto" w:w="0"/>
        <w:tblLayout w:type="fixed"/>
      </w:tblPr>
      <w:tblGrid>
        <w:gridCol w:w="9639"/>
      </w:tblGrid>
      <w:tr>
        <w:trPr>
          <w:trHeight w:hRule="atLeast" w:val="1269"/>
        </w:trPr>
        <w:tc>
          <w:tcPr>
            <w:tcW w:type="dxa" w:w="9639"/>
          </w:tcPr>
          <w:p w14:paraId="30000000">
            <w:pPr>
              <w:widowControl w:val="0"/>
              <w:spacing w:before="240" w:line="360" w:lineRule="exact"/>
              <w:ind w:firstLine="0" w:left="1985"/>
              <w:jc w:val="center"/>
              <w:rPr>
                <w:color w:themeColor="background1" w:themeShade="BF" w:val="BFBFBF"/>
                <w:sz w:val="28"/>
              </w:rPr>
            </w:pPr>
            <w:bookmarkStart w:id="4" w:name="SIGNERSTAMP1"/>
            <w:r>
              <w:rPr>
                <w:color w:themeColor="background1" w:themeShade="BF" w:val="BFBFBF"/>
                <w:sz w:val="28"/>
              </w:rPr>
              <w:t>эл.подпись</w:t>
            </w:r>
            <w:bookmarkEnd w:id="4"/>
          </w:p>
          <w:p w14:paraId="31000000">
            <w:pPr>
              <w:widowControl w:val="0"/>
              <w:spacing w:line="360" w:lineRule="exact"/>
              <w:ind/>
              <w:rPr>
                <w:color w:themeColor="background1" w:themeShade="80" w:val="808080"/>
                <w:sz w:val="28"/>
              </w:rPr>
            </w:pPr>
            <w:r>
              <w:rPr>
                <w:color w:themeColor="background1" w:themeShade="BF" w:val="BFBFBF"/>
                <w:sz w:val="28"/>
              </w:rPr>
              <w:t xml:space="preserve"> </w:t>
            </w:r>
          </w:p>
        </w:tc>
      </w:tr>
    </w:tbl>
    <w:p w14:paraId="32000000">
      <w:pPr>
        <w:widowControl w:val="0"/>
        <w:tabs>
          <w:tab w:leader="none" w:pos="2268" w:val="left"/>
          <w:tab w:leader="none" w:pos="6804" w:val="left"/>
        </w:tabs>
        <w:spacing w:after="0" w:line="240" w:lineRule="auto"/>
        <w:ind/>
        <w:rPr>
          <w:rFonts w:ascii="Times New Roman" w:hAnsi="Times New Roman"/>
          <w:sz w:val="24"/>
        </w:rPr>
      </w:pPr>
    </w:p>
    <w:p w14:paraId="33000000">
      <w:pPr>
        <w:widowControl w:val="0"/>
        <w:tabs>
          <w:tab w:leader="none" w:pos="2268" w:val="left"/>
          <w:tab w:leader="none" w:pos="6804" w:val="left"/>
        </w:tabs>
        <w:spacing w:after="0" w:line="240" w:lineRule="auto"/>
        <w:ind/>
        <w:rPr>
          <w:rFonts w:ascii="Times New Roman" w:hAnsi="Times New Roman"/>
          <w:sz w:val="24"/>
        </w:rPr>
      </w:pPr>
    </w:p>
    <w:p w14:paraId="34000000">
      <w:pPr>
        <w:widowControl w:val="0"/>
        <w:tabs>
          <w:tab w:leader="none" w:pos="2268" w:val="left"/>
          <w:tab w:leader="none" w:pos="6804" w:val="left"/>
        </w:tabs>
        <w:spacing w:after="0" w:line="240" w:lineRule="auto"/>
        <w:ind/>
        <w:rPr>
          <w:rFonts w:ascii="Times New Roman" w:hAnsi="Times New Roman"/>
          <w:sz w:val="24"/>
        </w:rPr>
      </w:pPr>
    </w:p>
    <w:sectPr>
      <w:footerReference r:id="rId1" w:type="first"/>
      <w:pgSz w:h="16838" w:orient="portrait" w:w="11906"/>
      <w:pgMar w:bottom="851" w:footer="709" w:gutter="0" w:header="709" w:left="1418" w:right="567" w:top="907"/>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tbl>
    <w:tblPr>
      <w:tblStyle w:val="Style_1"/>
      <w:tblpPr w:horzAnchor="margin" w:tblpXSpec="right" w:tblpYSpec="outside" w:vertAnchor="page"/>
      <w:tblW w:type="auto" w:w="0"/>
      <w:tblBorders>
        <w:top w:color="000000" w:sz="12" w:val="single"/>
        <w:left w:color="000000" w:sz="12" w:val="single"/>
        <w:bottom w:color="000000" w:sz="12" w:val="single"/>
        <w:right w:color="000000" w:sz="12" w:val="single"/>
      </w:tblBorders>
      <w:tblLayout w:type="fixed"/>
      <w:tblCellMar>
        <w:top w:type="dxa" w:w="28"/>
        <w:left w:type="dxa" w:w="28"/>
        <w:bottom w:type="dxa" w:w="28"/>
        <w:right w:type="dxa" w:w="28"/>
      </w:tblCellMar>
    </w:tblPr>
    <w:tblGrid>
      <w:gridCol w:w="3643"/>
    </w:tblGrid>
    <w:tr>
      <w:trPr>
        <w:trHeight w:hRule="atLeast" w:val="57"/>
      </w:trPr>
      <w:tc>
        <w:tcPr>
          <w:tcW w:type="dxa" w:w="3643"/>
          <w:tcBorders>
            <w:top w:color="000000" w:sz="12" w:val="single"/>
            <w:left w:color="000000" w:sz="12" w:val="single"/>
            <w:bottom w:color="000000" w:sz="12" w:val="single"/>
            <w:right w:color="000000" w:sz="12" w:val="single"/>
          </w:tcBorders>
          <w:tcMar>
            <w:top w:type="dxa" w:w="28"/>
            <w:left w:type="dxa" w:w="28"/>
            <w:bottom w:type="dxa" w:w="28"/>
            <w:right w:type="dxa" w:w="28"/>
          </w:tcMar>
        </w:tcPr>
        <w:p w14:paraId="01000000">
          <w:pPr>
            <w:widowControl w:val="0"/>
            <w:spacing w:after="60" w:line="240" w:lineRule="auto"/>
            <w:ind/>
            <w:jc w:val="center"/>
            <w:rPr>
              <w:rFonts w:ascii="Times New Roman" w:hAnsi="Times New Roman"/>
              <w:sz w:val="16"/>
            </w:rPr>
          </w:pPr>
          <w:bookmarkStart w:id="1" w:name="SIGNERORG1"/>
          <w:r>
            <w:rPr>
              <w:rFonts w:ascii="Times New Roman" w:hAnsi="Times New Roman"/>
              <w:sz w:val="16"/>
            </w:rPr>
            <w:t>организация</w:t>
          </w:r>
          <w:bookmarkEnd w:id="1"/>
        </w:p>
        <w:p w14:paraId="02000000">
          <w:pPr>
            <w:widowControl w:val="0"/>
            <w:spacing w:after="60" w:line="240" w:lineRule="auto"/>
            <w:ind/>
            <w:jc w:val="center"/>
            <w:rPr>
              <w:rFonts w:ascii="Times New Roman" w:hAnsi="Times New Roman"/>
              <w:sz w:val="16"/>
            </w:rPr>
          </w:pPr>
          <w:r>
            <w:rPr>
              <w:rFonts w:ascii="Times New Roman" w:hAnsi="Times New Roman"/>
              <w:sz w:val="16"/>
            </w:rPr>
            <w:t xml:space="preserve">№ </w:t>
          </w:r>
          <w:bookmarkStart w:id="2" w:name="REGNUMSTAMP"/>
          <w:r>
            <w:rPr>
              <w:rFonts w:ascii="Times New Roman" w:hAnsi="Times New Roman"/>
              <w:color w:themeColor="background1" w:themeShade="BF" w:val="BFBFBF"/>
              <w:sz w:val="16"/>
            </w:rPr>
            <w:t>рег.номер</w:t>
          </w:r>
          <w:bookmarkEnd w:id="2"/>
        </w:p>
      </w:tc>
    </w:tr>
  </w:tbl>
  <w:p w14:paraId="03000000">
    <w:pPr>
      <w:pStyle w:val="Style_2"/>
      <w:widowControl w:val="0"/>
      <w:spacing w:after="60"/>
      <w:ind/>
    </w:pPr>
  </w:p>
</w:ft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0"/>
        <w:spacing w:after="160" w:before="0" w:line="264"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style>
  <w:style w:default="1" w:styleId="Style_4_ch" w:type="character">
    <w:name w:val="Normal"/>
    <w:link w:val="Style_4"/>
  </w:style>
  <w:style w:styleId="Style_5" w:type="paragraph">
    <w:name w:val="toc 2"/>
    <w:next w:val="Style_4"/>
    <w:link w:val="Style_5_ch"/>
    <w:uiPriority w:val="39"/>
    <w:pPr>
      <w:widowControl w:val="0"/>
      <w:ind w:firstLine="0" w:left="200"/>
      <w:jc w:val="left"/>
    </w:pPr>
    <w:rPr>
      <w:rFonts w:ascii="XO Thames" w:hAnsi="XO Thames"/>
      <w:sz w:val="28"/>
    </w:rPr>
  </w:style>
  <w:style w:styleId="Style_5_ch" w:type="character">
    <w:name w:val="toc 2"/>
    <w:link w:val="Style_5"/>
    <w:rPr>
      <w:rFonts w:ascii="XO Thames" w:hAnsi="XO Thames"/>
      <w:sz w:val="28"/>
    </w:rPr>
  </w:style>
  <w:style w:styleId="Style_6" w:type="paragraph">
    <w:name w:val="toc 4"/>
    <w:next w:val="Style_4"/>
    <w:link w:val="Style_6_ch"/>
    <w:uiPriority w:val="39"/>
    <w:pPr>
      <w:widowControl w:val="0"/>
      <w:ind w:firstLine="0" w:left="600"/>
      <w:jc w:val="left"/>
    </w:pPr>
    <w:rPr>
      <w:rFonts w:ascii="XO Thames" w:hAnsi="XO Thames"/>
      <w:sz w:val="28"/>
    </w:rPr>
  </w:style>
  <w:style w:styleId="Style_6_ch" w:type="character">
    <w:name w:val="toc 4"/>
    <w:link w:val="Style_6"/>
    <w:rPr>
      <w:rFonts w:ascii="XO Thames" w:hAnsi="XO Thames"/>
      <w:sz w:val="28"/>
    </w:rPr>
  </w:style>
  <w:style w:styleId="Style_7" w:type="paragraph">
    <w:name w:val="toc 6"/>
    <w:next w:val="Style_4"/>
    <w:link w:val="Style_7_ch"/>
    <w:uiPriority w:val="39"/>
    <w:pPr>
      <w:widowControl w:val="0"/>
      <w:ind w:firstLine="0" w:left="1000"/>
      <w:jc w:val="left"/>
    </w:pPr>
    <w:rPr>
      <w:rFonts w:ascii="XO Thames" w:hAnsi="XO Thames"/>
      <w:sz w:val="28"/>
    </w:rPr>
  </w:style>
  <w:style w:styleId="Style_7_ch" w:type="character">
    <w:name w:val="toc 6"/>
    <w:link w:val="Style_7"/>
    <w:rPr>
      <w:rFonts w:ascii="XO Thames" w:hAnsi="XO Thames"/>
      <w:sz w:val="28"/>
    </w:rPr>
  </w:style>
  <w:style w:styleId="Style_8" w:type="paragraph">
    <w:name w:val="toc 7"/>
    <w:next w:val="Style_4"/>
    <w:link w:val="Style_8_ch"/>
    <w:uiPriority w:val="39"/>
    <w:pPr>
      <w:widowControl w:val="0"/>
      <w:ind w:firstLine="0" w:left="1200"/>
      <w:jc w:val="left"/>
    </w:pPr>
    <w:rPr>
      <w:rFonts w:ascii="XO Thames" w:hAnsi="XO Thames"/>
      <w:sz w:val="28"/>
    </w:rPr>
  </w:style>
  <w:style w:styleId="Style_8_ch" w:type="character">
    <w:name w:val="toc 7"/>
    <w:link w:val="Style_8"/>
    <w:rPr>
      <w:rFonts w:ascii="XO Thames" w:hAnsi="XO Thames"/>
      <w:sz w:val="28"/>
    </w:rPr>
  </w:style>
  <w:style w:styleId="Style_9" w:type="paragraph">
    <w:name w:val="Endnote"/>
    <w:link w:val="Style_9_ch"/>
    <w:pPr>
      <w:widowControl w:val="0"/>
      <w:ind w:firstLine="851" w:left="0"/>
      <w:jc w:val="both"/>
    </w:pPr>
    <w:rPr>
      <w:rFonts w:ascii="XO Thames" w:hAnsi="XO Thames"/>
      <w:sz w:val="22"/>
    </w:rPr>
  </w:style>
  <w:style w:styleId="Style_9_ch" w:type="character">
    <w:name w:val="Endnote"/>
    <w:link w:val="Style_9"/>
    <w:rPr>
      <w:rFonts w:ascii="XO Thames" w:hAnsi="XO Thames"/>
      <w:sz w:val="22"/>
    </w:rPr>
  </w:style>
  <w:style w:styleId="Style_10" w:type="paragraph">
    <w:name w:val="heading 3"/>
    <w:next w:val="Style_4"/>
    <w:link w:val="Style_10_ch"/>
    <w:uiPriority w:val="9"/>
    <w:qFormat/>
    <w:pPr>
      <w:widowControl w:val="0"/>
      <w:spacing w:after="120" w:before="120"/>
      <w:ind/>
      <w:jc w:val="both"/>
      <w:outlineLvl w:val="2"/>
    </w:pPr>
    <w:rPr>
      <w:rFonts w:ascii="XO Thames" w:hAnsi="XO Thames"/>
      <w:b w:val="1"/>
      <w:sz w:val="26"/>
    </w:rPr>
  </w:style>
  <w:style w:styleId="Style_10_ch" w:type="character">
    <w:name w:val="heading 3"/>
    <w:link w:val="Style_10"/>
    <w:rPr>
      <w:rFonts w:ascii="XO Thames" w:hAnsi="XO Thames"/>
      <w:b w:val="1"/>
      <w:sz w:val="26"/>
    </w:rPr>
  </w:style>
  <w:style w:styleId="Style_11" w:type="paragraph">
    <w:name w:val="Default Paragraph Font"/>
    <w:link w:val="Style_11_ch"/>
  </w:style>
  <w:style w:styleId="Style_11_ch" w:type="character">
    <w:name w:val="Default Paragraph Font"/>
    <w:link w:val="Style_11"/>
  </w:style>
  <w:style w:styleId="Style_12" w:type="paragraph">
    <w:name w:val="toc 3"/>
    <w:next w:val="Style_4"/>
    <w:link w:val="Style_12_ch"/>
    <w:uiPriority w:val="39"/>
    <w:pPr>
      <w:widowControl w:val="0"/>
      <w:ind w:firstLine="0" w:left="400"/>
      <w:jc w:val="left"/>
    </w:pPr>
    <w:rPr>
      <w:rFonts w:ascii="XO Thames" w:hAnsi="XO Thames"/>
      <w:sz w:val="28"/>
    </w:rPr>
  </w:style>
  <w:style w:styleId="Style_12_ch" w:type="character">
    <w:name w:val="toc 3"/>
    <w:link w:val="Style_12"/>
    <w:rPr>
      <w:rFonts w:ascii="XO Thames" w:hAnsi="XO Thames"/>
      <w:sz w:val="28"/>
    </w:rPr>
  </w:style>
  <w:style w:styleId="Style_13" w:type="paragraph">
    <w:name w:val="heading 5"/>
    <w:next w:val="Style_4"/>
    <w:link w:val="Style_13_ch"/>
    <w:uiPriority w:val="9"/>
    <w:qFormat/>
    <w:pPr>
      <w:widowControl w:val="0"/>
      <w:spacing w:after="120" w:before="120"/>
      <w:ind/>
      <w:jc w:val="both"/>
      <w:outlineLvl w:val="4"/>
    </w:pPr>
    <w:rPr>
      <w:rFonts w:ascii="XO Thames" w:hAnsi="XO Thames"/>
      <w:b w:val="1"/>
      <w:sz w:val="22"/>
    </w:rPr>
  </w:style>
  <w:style w:styleId="Style_13_ch" w:type="character">
    <w:name w:val="heading 5"/>
    <w:link w:val="Style_13"/>
    <w:rPr>
      <w:rFonts w:ascii="XO Thames" w:hAnsi="XO Thames"/>
      <w:b w:val="1"/>
      <w:sz w:val="22"/>
    </w:rPr>
  </w:style>
  <w:style w:styleId="Style_3" w:type="paragraph">
    <w:name w:val="heading 1"/>
    <w:basedOn w:val="Style_4"/>
    <w:next w:val="Style_4"/>
    <w:link w:val="Style_3_ch"/>
    <w:uiPriority w:val="9"/>
    <w:qFormat/>
    <w:pPr>
      <w:keepNext w:val="1"/>
      <w:keepLines w:val="1"/>
      <w:widowControl w:val="0"/>
      <w:spacing w:after="0" w:before="480"/>
      <w:ind/>
      <w:outlineLvl w:val="0"/>
    </w:pPr>
    <w:rPr>
      <w:rFonts w:asciiTheme="majorAscii" w:hAnsiTheme="majorHAnsi"/>
      <w:b w:val="1"/>
      <w:color w:themeColor="accent1" w:themeShade="BF" w:val="2E75B5"/>
      <w:sz w:val="28"/>
    </w:rPr>
  </w:style>
  <w:style w:styleId="Style_3_ch" w:type="character">
    <w:name w:val="heading 1"/>
    <w:basedOn w:val="Style_4_ch"/>
    <w:link w:val="Style_3"/>
    <w:rPr>
      <w:rFonts w:asciiTheme="majorAscii" w:hAnsiTheme="majorHAnsi"/>
      <w:b w:val="1"/>
      <w:color w:themeColor="accent1" w:themeShade="BF" w:val="2E75B5"/>
      <w:sz w:val="28"/>
    </w:rPr>
  </w:style>
  <w:style w:styleId="Style_14" w:type="paragraph">
    <w:name w:val="Hyperlink"/>
    <w:link w:val="Style_14_ch"/>
    <w:rPr>
      <w:color w:val="0000FF"/>
      <w:u w:val="single"/>
    </w:rPr>
  </w:style>
  <w:style w:styleId="Style_14_ch" w:type="character">
    <w:name w:val="Hyperlink"/>
    <w:link w:val="Style_14"/>
    <w:rPr>
      <w:color w:val="0000FF"/>
      <w:u w:val="single"/>
    </w:rPr>
  </w:style>
  <w:style w:styleId="Style_15" w:type="paragraph">
    <w:name w:val="Footnote"/>
    <w:link w:val="Style_15_ch"/>
    <w:pPr>
      <w:widowControl w:val="0"/>
      <w:ind w:firstLine="851" w:left="0"/>
      <w:jc w:val="both"/>
    </w:pPr>
    <w:rPr>
      <w:rFonts w:ascii="XO Thames" w:hAnsi="XO Thames"/>
      <w:sz w:val="22"/>
    </w:rPr>
  </w:style>
  <w:style w:styleId="Style_15_ch" w:type="character">
    <w:name w:val="Footnote"/>
    <w:link w:val="Style_15"/>
    <w:rPr>
      <w:rFonts w:ascii="XO Thames" w:hAnsi="XO Thames"/>
      <w:sz w:val="22"/>
    </w:rPr>
  </w:style>
  <w:style w:styleId="Style_16" w:type="paragraph">
    <w:name w:val="Balloon Text"/>
    <w:basedOn w:val="Style_4"/>
    <w:link w:val="Style_16_ch"/>
    <w:pPr>
      <w:widowControl w:val="0"/>
      <w:spacing w:after="0" w:line="240" w:lineRule="auto"/>
      <w:ind/>
    </w:pPr>
    <w:rPr>
      <w:rFonts w:ascii="Tahoma" w:hAnsi="Tahoma"/>
      <w:sz w:val="16"/>
    </w:rPr>
  </w:style>
  <w:style w:styleId="Style_16_ch" w:type="character">
    <w:name w:val="Balloon Text"/>
    <w:basedOn w:val="Style_4_ch"/>
    <w:link w:val="Style_16"/>
    <w:rPr>
      <w:rFonts w:ascii="Tahoma" w:hAnsi="Tahoma"/>
      <w:sz w:val="16"/>
    </w:rPr>
  </w:style>
  <w:style w:styleId="Style_17" w:type="paragraph">
    <w:name w:val="toc 1"/>
    <w:next w:val="Style_4"/>
    <w:link w:val="Style_17_ch"/>
    <w:uiPriority w:val="39"/>
    <w:pPr>
      <w:widowControl w:val="0"/>
      <w:ind w:firstLine="0" w:left="0"/>
      <w:jc w:val="left"/>
    </w:pPr>
    <w:rPr>
      <w:rFonts w:ascii="XO Thames" w:hAnsi="XO Thames"/>
      <w:b w:val="1"/>
      <w:sz w:val="28"/>
    </w:rPr>
  </w:style>
  <w:style w:styleId="Style_17_ch" w:type="character">
    <w:name w:val="toc 1"/>
    <w:link w:val="Style_17"/>
    <w:rPr>
      <w:rFonts w:ascii="XO Thames" w:hAnsi="XO Thames"/>
      <w:b w:val="1"/>
      <w:sz w:val="28"/>
    </w:rPr>
  </w:style>
  <w:style w:styleId="Style_18" w:type="paragraph">
    <w:name w:val="Header and Footer"/>
    <w:link w:val="Style_18_ch"/>
    <w:pPr>
      <w:widowControl w:val="0"/>
      <w:spacing w:line="240" w:lineRule="auto"/>
      <w:ind/>
      <w:jc w:val="both"/>
    </w:pPr>
    <w:rPr>
      <w:rFonts w:ascii="XO Thames" w:hAnsi="XO Thames"/>
      <w:sz w:val="28"/>
    </w:rPr>
  </w:style>
  <w:style w:styleId="Style_18_ch" w:type="character">
    <w:name w:val="Header and Footer"/>
    <w:link w:val="Style_18"/>
    <w:rPr>
      <w:rFonts w:ascii="XO Thames" w:hAnsi="XO Thames"/>
      <w:sz w:val="28"/>
    </w:rPr>
  </w:style>
  <w:style w:styleId="Style_19" w:type="paragraph">
    <w:name w:val="toc 9"/>
    <w:next w:val="Style_4"/>
    <w:link w:val="Style_19_ch"/>
    <w:uiPriority w:val="39"/>
    <w:pPr>
      <w:widowControl w:val="0"/>
      <w:ind w:firstLine="0" w:left="1600"/>
      <w:jc w:val="left"/>
    </w:pPr>
    <w:rPr>
      <w:rFonts w:ascii="XO Thames" w:hAnsi="XO Thames"/>
      <w:sz w:val="28"/>
    </w:rPr>
  </w:style>
  <w:style w:styleId="Style_19_ch" w:type="character">
    <w:name w:val="toc 9"/>
    <w:link w:val="Style_19"/>
    <w:rPr>
      <w:rFonts w:ascii="XO Thames" w:hAnsi="XO Thames"/>
      <w:sz w:val="28"/>
    </w:rPr>
  </w:style>
  <w:style w:styleId="Style_20" w:type="paragraph">
    <w:name w:val="header"/>
    <w:basedOn w:val="Style_4"/>
    <w:link w:val="Style_20_ch"/>
    <w:pPr>
      <w:widowControl w:val="0"/>
      <w:tabs>
        <w:tab w:leader="none" w:pos="4677" w:val="center"/>
        <w:tab w:leader="none" w:pos="9355" w:val="right"/>
      </w:tabs>
      <w:spacing w:after="0" w:line="240" w:lineRule="auto"/>
      <w:ind/>
    </w:pPr>
  </w:style>
  <w:style w:styleId="Style_20_ch" w:type="character">
    <w:name w:val="header"/>
    <w:basedOn w:val="Style_4_ch"/>
    <w:link w:val="Style_20"/>
  </w:style>
  <w:style w:styleId="Style_21" w:type="paragraph">
    <w:name w:val="toc 8"/>
    <w:next w:val="Style_4"/>
    <w:link w:val="Style_21_ch"/>
    <w:uiPriority w:val="39"/>
    <w:pPr>
      <w:widowControl w:val="0"/>
      <w:ind w:firstLine="0" w:left="1400"/>
      <w:jc w:val="left"/>
    </w:pPr>
    <w:rPr>
      <w:rFonts w:ascii="XO Thames" w:hAnsi="XO Thames"/>
      <w:sz w:val="28"/>
    </w:rPr>
  </w:style>
  <w:style w:styleId="Style_21_ch" w:type="character">
    <w:name w:val="toc 8"/>
    <w:link w:val="Style_21"/>
    <w:rPr>
      <w:rFonts w:ascii="XO Thames" w:hAnsi="XO Thames"/>
      <w:sz w:val="28"/>
    </w:rPr>
  </w:style>
  <w:style w:styleId="Style_2" w:type="paragraph">
    <w:name w:val="footer"/>
    <w:basedOn w:val="Style_4"/>
    <w:link w:val="Style_2_ch"/>
    <w:pPr>
      <w:widowControl w:val="0"/>
      <w:tabs>
        <w:tab w:leader="none" w:pos="4677" w:val="center"/>
        <w:tab w:leader="none" w:pos="9355" w:val="right"/>
      </w:tabs>
      <w:spacing w:after="0" w:line="240" w:lineRule="auto"/>
      <w:ind/>
    </w:pPr>
  </w:style>
  <w:style w:styleId="Style_2_ch" w:type="character">
    <w:name w:val="footer"/>
    <w:basedOn w:val="Style_4_ch"/>
    <w:link w:val="Style_2"/>
  </w:style>
  <w:style w:styleId="Style_22" w:type="paragraph">
    <w:name w:val="toc 5"/>
    <w:next w:val="Style_4"/>
    <w:link w:val="Style_22_ch"/>
    <w:uiPriority w:val="39"/>
    <w:pPr>
      <w:widowControl w:val="0"/>
      <w:ind w:firstLine="0" w:left="800"/>
      <w:jc w:val="left"/>
    </w:pPr>
    <w:rPr>
      <w:rFonts w:ascii="XO Thames" w:hAnsi="XO Thames"/>
      <w:sz w:val="28"/>
    </w:rPr>
  </w:style>
  <w:style w:styleId="Style_22_ch" w:type="character">
    <w:name w:val="toc 5"/>
    <w:link w:val="Style_22"/>
    <w:rPr>
      <w:rFonts w:ascii="XO Thames" w:hAnsi="XO Thames"/>
      <w:sz w:val="28"/>
    </w:rPr>
  </w:style>
  <w:style w:styleId="Style_23" w:type="paragraph">
    <w:name w:val="Subtitle"/>
    <w:next w:val="Style_4"/>
    <w:link w:val="Style_23_ch"/>
    <w:uiPriority w:val="11"/>
    <w:qFormat/>
    <w:pPr>
      <w:widowControl w:val="0"/>
      <w:ind/>
      <w:jc w:val="both"/>
    </w:pPr>
    <w:rPr>
      <w:rFonts w:ascii="XO Thames" w:hAnsi="XO Thames"/>
      <w:i w:val="1"/>
      <w:sz w:val="24"/>
    </w:rPr>
  </w:style>
  <w:style w:styleId="Style_23_ch" w:type="character">
    <w:name w:val="Subtitle"/>
    <w:link w:val="Style_23"/>
    <w:rPr>
      <w:rFonts w:ascii="XO Thames" w:hAnsi="XO Thames"/>
      <w:i w:val="1"/>
      <w:sz w:val="24"/>
    </w:rPr>
  </w:style>
  <w:style w:styleId="Style_24" w:type="paragraph">
    <w:name w:val="Body Text"/>
    <w:basedOn w:val="Style_4"/>
    <w:link w:val="Style_24_ch"/>
    <w:pPr>
      <w:widowControl w:val="0"/>
      <w:spacing w:after="0" w:line="360" w:lineRule="auto"/>
      <w:ind/>
      <w:jc w:val="both"/>
    </w:pPr>
    <w:rPr>
      <w:rFonts w:ascii="Arial" w:hAnsi="Arial"/>
      <w:b w:val="1"/>
      <w:sz w:val="20"/>
    </w:rPr>
  </w:style>
  <w:style w:styleId="Style_24_ch" w:type="character">
    <w:name w:val="Body Text"/>
    <w:basedOn w:val="Style_4_ch"/>
    <w:link w:val="Style_24"/>
    <w:rPr>
      <w:rFonts w:ascii="Arial" w:hAnsi="Arial"/>
      <w:b w:val="1"/>
      <w:sz w:val="20"/>
    </w:rPr>
  </w:style>
  <w:style w:styleId="Style_25" w:type="paragraph">
    <w:name w:val="Title"/>
    <w:next w:val="Style_4"/>
    <w:link w:val="Style_25_ch"/>
    <w:uiPriority w:val="10"/>
    <w:qFormat/>
    <w:pPr>
      <w:widowControl w:val="0"/>
      <w:spacing w:after="567" w:before="567"/>
      <w:ind/>
      <w:jc w:val="center"/>
    </w:pPr>
    <w:rPr>
      <w:rFonts w:ascii="XO Thames" w:hAnsi="XO Thames"/>
      <w:b w:val="1"/>
      <w:caps w:val="1"/>
      <w:sz w:val="40"/>
    </w:rPr>
  </w:style>
  <w:style w:styleId="Style_25_ch" w:type="character">
    <w:name w:val="Title"/>
    <w:link w:val="Style_25"/>
    <w:rPr>
      <w:rFonts w:ascii="XO Thames" w:hAnsi="XO Thames"/>
      <w:b w:val="1"/>
      <w:caps w:val="1"/>
      <w:sz w:val="40"/>
    </w:rPr>
  </w:style>
  <w:style w:styleId="Style_26" w:type="paragraph">
    <w:name w:val="heading 4"/>
    <w:next w:val="Style_4"/>
    <w:link w:val="Style_26_ch"/>
    <w:uiPriority w:val="9"/>
    <w:qFormat/>
    <w:pPr>
      <w:widowControl w:val="0"/>
      <w:spacing w:after="120" w:before="120"/>
      <w:ind/>
      <w:jc w:val="both"/>
      <w:outlineLvl w:val="3"/>
    </w:pPr>
    <w:rPr>
      <w:rFonts w:ascii="XO Thames" w:hAnsi="XO Thames"/>
      <w:b w:val="1"/>
      <w:sz w:val="24"/>
    </w:rPr>
  </w:style>
  <w:style w:styleId="Style_26_ch" w:type="character">
    <w:name w:val="heading 4"/>
    <w:link w:val="Style_26"/>
    <w:rPr>
      <w:rFonts w:ascii="XO Thames" w:hAnsi="XO Thames"/>
      <w:b w:val="1"/>
      <w:sz w:val="24"/>
    </w:rPr>
  </w:style>
  <w:style w:styleId="Style_27" w:type="paragraph">
    <w:name w:val="heading 2"/>
    <w:next w:val="Style_4"/>
    <w:link w:val="Style_27_ch"/>
    <w:uiPriority w:val="9"/>
    <w:qFormat/>
    <w:pPr>
      <w:widowControl w:val="0"/>
      <w:spacing w:after="120" w:before="120"/>
      <w:ind/>
      <w:jc w:val="both"/>
      <w:outlineLvl w:val="1"/>
    </w:pPr>
    <w:rPr>
      <w:rFonts w:ascii="XO Thames" w:hAnsi="XO Thames"/>
      <w:b w:val="1"/>
      <w:sz w:val="28"/>
    </w:rPr>
  </w:style>
  <w:style w:styleId="Style_27_ch" w:type="character">
    <w:name w:val="heading 2"/>
    <w:link w:val="Style_27"/>
    <w:rPr>
      <w:rFonts w:ascii="XO Thames" w:hAnsi="XO Thames"/>
      <w:b w:val="1"/>
      <w:sz w:val="28"/>
    </w:rPr>
  </w:style>
  <w:style w:default="1" w:styleId="Style_1" w:type="table">
    <w:name w:val="Normal Table"/>
    <w:tblPr>
      <w:tblInd w:type="dxa" w:w="0"/>
      <w:tblCellMar>
        <w:top w:type="dxa" w:w="0"/>
        <w:left w:type="dxa" w:w="108"/>
        <w:bottom w:type="dxa" w:w="0"/>
        <w:right w:type="dxa" w:w="108"/>
      </w:tblCellMar>
    </w:tblPr>
  </w:style>
  <w:style w:styleId="Style_28" w:type="table">
    <w:name w:val="Table Grid"/>
    <w:basedOn w:val="Style_1"/>
    <w:pPr>
      <w:widowControl w:val="0"/>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webSettings.xml" Type="http://schemas.openxmlformats.org/officeDocument/2006/relationships/webSettings"/>
  <Relationship Id="rId1" Target="footer1.xml" Type="http://schemas.openxmlformats.org/officeDocument/2006/relationships/footer"/>
  <Relationship Id="rId2" Target="fontTable.xml" Type="http://schemas.openxmlformats.org/officeDocument/2006/relationships/fontTable"/>
  <Relationship Id="rId3" Target="settings.xml" Type="http://schemas.openxmlformats.org/officeDocument/2006/relationships/settings"/>
  <Relationship Id="rId4" Target="styles.xml" Type="http://schemas.openxmlformats.org/officeDocument/2006/relationships/styles"/>
  <Relationship Id="rId7" Target="theme/theme1.xml" Type="http://schemas.openxmlformats.org/officeDocument/2006/relationships/theme"/>
  <Relationship Id="rId5" Target="stylesWithEffects.xml" Type="http://schemas.microsoft.com/office/2007/relationships/stylesWithEffect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MyOffice-CoreFramework-Linux/38-1384.1107.10199.1019.1@18975027e3ee4b688e27426d4a78178cb841a344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2025-06-21T11:41:17Z</dcterms:created>
  <dcterms:modified xsi:type="dcterms:W3CDTF">2026-10-06T14:55:03Z</dcterms:modified>
</cp:coreProperties>
</file>