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8764B">
      <w:pPr>
        <w:shd w:val="clear" w:color="auto" w:fill="FFFFFF"/>
        <w:spacing w:after="0" w:line="240" w:lineRule="auto"/>
        <w:ind w:right="2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Дума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Большевистского сельского поселения</w:t>
      </w:r>
    </w:p>
    <w:p w14:paraId="770843CC">
      <w:pPr>
        <w:pBdr>
          <w:top w:val="none" w:color="000000" w:sz="0" w:space="0"/>
          <w:left w:val="none" w:color="000000" w:sz="0" w:space="0"/>
          <w:bottom w:val="single" w:color="000000" w:sz="12" w:space="1"/>
          <w:right w:val="none" w:color="000000" w:sz="0" w:space="0"/>
        </w:pBdr>
        <w:shd w:val="clear" w:color="auto" w:fill="FFFFFF"/>
        <w:spacing w:after="0" w:line="240" w:lineRule="auto"/>
        <w:ind w:right="2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3942773A">
      <w:pPr>
        <w:pStyle w:val="3"/>
        <w:rPr>
          <w:rFonts w:hint="default" w:ascii="Arial" w:hAnsi="Arial" w:cs="Arial"/>
          <w:b w:val="0"/>
          <w:sz w:val="24"/>
          <w:szCs w:val="24"/>
        </w:rPr>
      </w:pPr>
    </w:p>
    <w:p w14:paraId="6D54140D">
      <w:pPr>
        <w:pStyle w:val="3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РЕШЕНИЕ</w:t>
      </w:r>
    </w:p>
    <w:p w14:paraId="12B9C436">
      <w:pPr>
        <w:spacing w:after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                                                                           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             </w:t>
      </w:r>
      <w:r>
        <w:rPr>
          <w:rFonts w:hint="default" w:ascii="Arial" w:hAnsi="Arial" w:eastAsia="Times New Roman" w:cs="Arial"/>
          <w:sz w:val="24"/>
          <w:szCs w:val="24"/>
        </w:rPr>
        <w:t xml:space="preserve"> 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№30/10</w:t>
      </w:r>
    </w:p>
    <w:p w14:paraId="42921C56">
      <w:pPr>
        <w:spacing w:after="0" w:line="240" w:lineRule="auto"/>
        <w:rPr>
          <w:rFonts w:hint="default" w:ascii="Arial" w:hAnsi="Arial" w:eastAsia="Times New Roman" w:cs="Arial"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от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15 августа 2025 г.</w:t>
      </w:r>
    </w:p>
    <w:p w14:paraId="199E7424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52742033">
      <w:pPr>
        <w:widowControl w:val="0"/>
        <w:autoSpaceDE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pacing w:val="-4"/>
          <w:sz w:val="24"/>
          <w:szCs w:val="24"/>
        </w:rPr>
        <w:t xml:space="preserve">О внесении изменения в решение </w:t>
      </w:r>
      <w:r>
        <w:rPr>
          <w:rFonts w:hint="default" w:ascii="Arial" w:hAnsi="Arial" w:cs="Arial"/>
          <w:b/>
          <w:bCs/>
          <w:spacing w:val="-4"/>
          <w:sz w:val="24"/>
          <w:szCs w:val="24"/>
          <w:lang w:val="ru-RU"/>
        </w:rPr>
        <w:t xml:space="preserve">Думы </w:t>
      </w:r>
      <w:r>
        <w:rPr>
          <w:rFonts w:hint="default" w:ascii="Arial" w:hAnsi="Arial" w:cs="Arial"/>
          <w:b/>
          <w:bCs/>
          <w:i w:val="0"/>
          <w:iCs w:val="0"/>
          <w:kern w:val="1"/>
          <w:sz w:val="24"/>
          <w:szCs w:val="24"/>
          <w:u w:val="none"/>
        </w:rPr>
        <w:t>Большевистского сельского поселения</w:t>
      </w:r>
      <w:r>
        <w:rPr>
          <w:rFonts w:hint="default" w:ascii="Arial" w:hAnsi="Arial" w:cs="Arial"/>
          <w:b/>
          <w:bCs/>
          <w:i w:val="0"/>
          <w:iCs w:val="0"/>
          <w:kern w:val="1"/>
          <w:sz w:val="24"/>
          <w:szCs w:val="24"/>
          <w:u w:val="none"/>
          <w:lang w:val="ru-RU"/>
        </w:rPr>
        <w:t xml:space="preserve"> Еланского муниципального района Волгоградской области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№ 124/53 от 15.03.2019 г.  «О принятии Правил благоустройства и озеленения территории Большевистского сельского поселения Еланского муниципального района Волгоградской области»</w:t>
      </w:r>
    </w:p>
    <w:p w14:paraId="1111173F">
      <w:pPr>
        <w:widowControl w:val="0"/>
        <w:spacing w:after="0" w:line="360" w:lineRule="auto"/>
        <w:jc w:val="center"/>
        <w:rPr>
          <w:rFonts w:hint="default" w:ascii="Arial" w:hAnsi="Arial" w:cs="Arial"/>
          <w:sz w:val="24"/>
          <w:szCs w:val="24"/>
        </w:rPr>
      </w:pPr>
    </w:p>
    <w:p w14:paraId="0E000000">
      <w:pPr>
        <w:spacing w:after="0" w:line="240" w:lineRule="auto"/>
        <w:ind w:left="0" w:firstLine="85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В соответствии с пунктами 3 и 12 части 2 статьи 45.1 </w:t>
      </w:r>
      <w:r>
        <w:rPr>
          <w:rFonts w:hint="default" w:ascii="Arial" w:hAnsi="Arial" w:cs="Arial"/>
          <w:sz w:val="24"/>
          <w:szCs w:val="24"/>
        </w:rPr>
        <w:t xml:space="preserve">Федерального </w:t>
      </w:r>
      <w:r>
        <w:rPr>
          <w:rFonts w:hint="default" w:ascii="Arial" w:hAnsi="Arial" w:cs="Arial"/>
          <w:color w:val="000000"/>
          <w:sz w:val="24"/>
          <w:szCs w:val="24"/>
        </w:rPr>
        <w:t>закона</w:t>
      </w:r>
      <w:r>
        <w:rPr>
          <w:rFonts w:hint="default" w:ascii="Arial" w:hAnsi="Arial" w:cs="Arial"/>
          <w:sz w:val="24"/>
          <w:szCs w:val="24"/>
        </w:rPr>
        <w:t xml:space="preserve"> от 06 октября 2003 г. № 131-ФЗ "Об общих принципах организации </w:t>
      </w:r>
      <w:r>
        <w:rPr>
          <w:rFonts w:hint="default" w:ascii="Arial" w:hAnsi="Arial" w:cs="Arial"/>
          <w:spacing w:val="-6"/>
          <w:sz w:val="24"/>
          <w:szCs w:val="24"/>
        </w:rPr>
        <w:t xml:space="preserve">местного самоуправления в Российской Федерации" </w:t>
      </w:r>
      <w:r>
        <w:rPr>
          <w:rFonts w:hint="default" w:ascii="Arial" w:hAnsi="Arial" w:cs="Arial"/>
          <w:sz w:val="24"/>
          <w:szCs w:val="24"/>
          <w:lang w:val="ru-RU"/>
        </w:rPr>
        <w:t xml:space="preserve">,руководствуясь </w:t>
      </w:r>
      <w:r>
        <w:rPr>
          <w:rFonts w:hint="default" w:ascii="Arial" w:hAnsi="Arial" w:cs="Arial"/>
          <w:sz w:val="24"/>
          <w:szCs w:val="24"/>
        </w:rPr>
        <w:t>Устав</w:t>
      </w:r>
      <w:r>
        <w:rPr>
          <w:rFonts w:hint="default" w:ascii="Arial" w:hAnsi="Arial" w:cs="Arial"/>
          <w:sz w:val="24"/>
          <w:szCs w:val="24"/>
          <w:lang w:val="ru-RU"/>
        </w:rPr>
        <w:t xml:space="preserve">ом </w:t>
      </w:r>
      <w:r>
        <w:rPr>
          <w:rFonts w:hint="default" w:ascii="Arial" w:hAnsi="Arial" w:cs="Arial"/>
          <w:sz w:val="24"/>
          <w:szCs w:val="24"/>
        </w:rPr>
        <w:t>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>, Дума  Большевистского сельского поселени</w:t>
      </w:r>
      <w:r>
        <w:rPr>
          <w:rFonts w:hint="default" w:ascii="Arial" w:hAnsi="Arial" w:cs="Arial"/>
          <w:sz w:val="24"/>
          <w:szCs w:val="24"/>
          <w:lang w:val="ru-RU"/>
        </w:rPr>
        <w:t xml:space="preserve">я </w:t>
      </w:r>
      <w:r>
        <w:rPr>
          <w:rFonts w:hint="default" w:ascii="Arial" w:hAnsi="Arial" w:cs="Arial"/>
          <w:sz w:val="24"/>
          <w:szCs w:val="24"/>
        </w:rPr>
        <w:t>решил(а):</w:t>
      </w:r>
    </w:p>
    <w:p w14:paraId="0F000000">
      <w:pPr>
        <w:widowControl w:val="0"/>
        <w:spacing w:after="0" w:line="240" w:lineRule="auto"/>
        <w:ind w:left="0" w:firstLine="851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 Внести в Правила благоустройства территории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Еланского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, утверждённые решением </w:t>
      </w:r>
      <w:r>
        <w:rPr>
          <w:rFonts w:hint="default" w:ascii="Arial" w:hAnsi="Arial" w:cs="Arial"/>
          <w:sz w:val="24"/>
          <w:szCs w:val="24"/>
        </w:rPr>
        <w:t>Дум</w:t>
      </w:r>
      <w:r>
        <w:rPr>
          <w:rFonts w:hint="default" w:ascii="Arial" w:hAnsi="Arial" w:cs="Arial"/>
          <w:sz w:val="24"/>
          <w:szCs w:val="24"/>
          <w:lang w:val="ru-RU"/>
        </w:rPr>
        <w:t>ы</w:t>
      </w:r>
      <w:r>
        <w:rPr>
          <w:rFonts w:hint="default" w:ascii="Arial" w:hAnsi="Arial" w:cs="Arial"/>
          <w:sz w:val="24"/>
          <w:szCs w:val="24"/>
        </w:rPr>
        <w:t xml:space="preserve"> Большевистского сельского поселения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 w:eastAsia="zh-CN"/>
        </w:rPr>
        <w:t>15.03.2019г.</w:t>
      </w:r>
      <w:r>
        <w:rPr>
          <w:rFonts w:hint="default" w:ascii="Arial" w:hAnsi="Arial" w:cs="Arial"/>
          <w:sz w:val="24"/>
          <w:szCs w:val="24"/>
          <w:lang w:eastAsia="zh-CN"/>
        </w:rPr>
        <w:t xml:space="preserve"> № </w:t>
      </w:r>
      <w:r>
        <w:rPr>
          <w:rFonts w:hint="default" w:ascii="Arial" w:hAnsi="Arial" w:cs="Arial"/>
          <w:sz w:val="24"/>
          <w:szCs w:val="24"/>
          <w:lang w:val="ru-RU" w:eastAsia="zh-CN"/>
        </w:rPr>
        <w:t xml:space="preserve">124/53 </w:t>
      </w:r>
      <w:r>
        <w:rPr>
          <w:rFonts w:hint="default" w:ascii="Arial" w:hAnsi="Arial" w:cs="Arial"/>
          <w:sz w:val="24"/>
          <w:szCs w:val="24"/>
          <w:lang w:eastAsia="zh-CN"/>
        </w:rPr>
        <w:t>изменение</w:t>
      </w:r>
      <w:r>
        <w:rPr>
          <w:rFonts w:hint="default" w:ascii="Arial" w:hAnsi="Arial" w:cs="Arial"/>
          <w:sz w:val="24"/>
          <w:szCs w:val="24"/>
        </w:rPr>
        <w:t xml:space="preserve">"Об утверждении Правил благоустройства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 сельского поселения Еланского муниципального района Волгоградской области</w:t>
      </w:r>
      <w:r>
        <w:rPr>
          <w:rFonts w:hint="default" w:ascii="Arial" w:hAnsi="Arial" w:cs="Arial"/>
          <w:i/>
          <w:sz w:val="24"/>
          <w:szCs w:val="24"/>
          <w:u w:val="single"/>
        </w:rPr>
        <w:t>"</w:t>
      </w:r>
      <w:r>
        <w:rPr>
          <w:rFonts w:hint="default" w:ascii="Arial" w:hAnsi="Arial" w:cs="Arial"/>
          <w:sz w:val="24"/>
          <w:szCs w:val="24"/>
        </w:rPr>
        <w:t xml:space="preserve"> изменение, дополнив разделом "</w:t>
      </w:r>
      <w:r>
        <w:rPr>
          <w:rFonts w:hint="default" w:ascii="Arial" w:hAnsi="Arial" w:cs="Arial"/>
          <w:color w:val="000000"/>
          <w:sz w:val="24"/>
          <w:szCs w:val="24"/>
        </w:rPr>
        <w:t>Порядок проведения земляных работ</w:t>
      </w:r>
      <w:r>
        <w:rPr>
          <w:rFonts w:hint="default" w:ascii="Arial" w:hAnsi="Arial" w:cs="Arial"/>
          <w:sz w:val="24"/>
          <w:szCs w:val="24"/>
        </w:rPr>
        <w:t>" следующего содержания:</w:t>
      </w:r>
    </w:p>
    <w:p w14:paraId="10000000">
      <w:pPr>
        <w:widowControl w:val="0"/>
        <w:spacing w:after="0" w:line="240" w:lineRule="auto"/>
        <w:ind w:left="0" w:firstLine="851"/>
        <w:jc w:val="both"/>
        <w:rPr>
          <w:rFonts w:hint="default" w:ascii="Arial" w:hAnsi="Arial" w:cs="Arial"/>
          <w:sz w:val="24"/>
          <w:szCs w:val="24"/>
        </w:rPr>
      </w:pPr>
    </w:p>
    <w:p w14:paraId="11000000">
      <w:pPr>
        <w:spacing w:after="1" w:line="220" w:lineRule="atLeast"/>
        <w:ind w:left="0" w:firstLine="851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pacing w:val="-4"/>
          <w:sz w:val="24"/>
          <w:szCs w:val="24"/>
        </w:rPr>
        <w:t xml:space="preserve">"Порядок </w:t>
      </w:r>
      <w:r>
        <w:rPr>
          <w:rFonts w:hint="default" w:ascii="Arial" w:hAnsi="Arial" w:cs="Arial"/>
          <w:color w:val="000000"/>
          <w:sz w:val="24"/>
          <w:szCs w:val="24"/>
        </w:rPr>
        <w:t>проведения земляных работ</w:t>
      </w:r>
    </w:p>
    <w:p w14:paraId="12000000">
      <w:pPr>
        <w:spacing w:after="1" w:line="220" w:lineRule="atLeast"/>
        <w:ind w:left="0" w:firstLine="851"/>
        <w:jc w:val="both"/>
        <w:rPr>
          <w:rFonts w:hint="default" w:ascii="Arial" w:hAnsi="Arial" w:cs="Arial"/>
          <w:strike/>
          <w:color w:val="FF0000"/>
          <w:sz w:val="24"/>
          <w:szCs w:val="24"/>
        </w:rPr>
      </w:pPr>
    </w:p>
    <w:p w14:paraId="13000000">
      <w:pPr>
        <w:pStyle w:val="65"/>
        <w:spacing w:after="0" w:line="240" w:lineRule="auto"/>
        <w:ind w:left="0" w:firstLine="0"/>
        <w:jc w:val="both"/>
        <w:rPr>
          <w:rFonts w:hint="default" w:ascii="Arial" w:hAnsi="Arial" w:cs="Arial"/>
          <w:i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 1.1. Проведение работ по выемке, насыпи или устройству склонов грунта (далее - земляные работы) осуществляется физическими лицами,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том числе зарегистрированными в качестве индивидуальных предпринимателей, юридическими лицами, а также их представителями </w:t>
      </w:r>
      <w:r>
        <w:rPr>
          <w:rFonts w:hint="default" w:ascii="Arial" w:hAnsi="Arial" w:cs="Arial"/>
          <w:color w:val="000000"/>
          <w:spacing w:val="-6"/>
          <w:sz w:val="24"/>
          <w:szCs w:val="24"/>
        </w:rPr>
        <w:t>при наличии разрешения на осуществление земляных работ, предоставленного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  <w:lang w:val="ru-RU"/>
        </w:rPr>
        <w:t xml:space="preserve">администрацией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>(далее – уполномоченный орган).</w:t>
      </w:r>
    </w:p>
    <w:p w14:paraId="14000000">
      <w:pPr>
        <w:spacing w:after="0" w:line="240" w:lineRule="auto"/>
        <w:ind w:left="0" w:firstLine="708"/>
        <w:jc w:val="both"/>
        <w:rPr>
          <w:rFonts w:hint="default" w:ascii="Arial" w:hAnsi="Arial" w:cs="Arial"/>
          <w:i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1.2. Понятия и термины, используемые в настоящем разделе Правил, применяются в значениях, определенных законодательством Российской Федерации, законодательством Волгоградской области.</w:t>
      </w:r>
      <w:r>
        <w:rPr>
          <w:rFonts w:hint="default" w:ascii="Arial" w:hAnsi="Arial" w:cs="Arial"/>
          <w:i/>
          <w:color w:val="000000"/>
          <w:sz w:val="24"/>
          <w:szCs w:val="24"/>
        </w:rPr>
        <w:t xml:space="preserve">   </w:t>
      </w:r>
    </w:p>
    <w:p w14:paraId="15000000">
      <w:pPr>
        <w:pStyle w:val="61"/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1.3. Получение разрешения на осуществление земляных работ        </w:t>
      </w:r>
      <w:r>
        <w:rPr>
          <w:rFonts w:hint="default" w:ascii="Arial" w:hAnsi="Arial" w:cs="Arial"/>
          <w:color w:val="000000"/>
          <w:sz w:val="24"/>
          <w:szCs w:val="24"/>
        </w:rPr>
        <w:t>(далее – разрешение)</w:t>
      </w:r>
      <w:r>
        <w:rPr>
          <w:rFonts w:hint="default"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обязательно при выполнении следующих видов работ:</w:t>
      </w:r>
    </w:p>
    <w:p w14:paraId="16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17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 капитальный, текущий ремонт зданий, строений, сооружений, за исключением текущего ремонта дорог и тротуаров без изменения профиля и планировки дорог;</w:t>
      </w:r>
    </w:p>
    <w:p w14:paraId="29D5652C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размещение объектов </w:t>
      </w:r>
      <w:bookmarkStart w:id="0" w:name="_Hlk185950638"/>
      <w:r>
        <w:rPr>
          <w:rFonts w:hint="default" w:ascii="Arial" w:hAnsi="Arial" w:cs="Arial"/>
          <w:sz w:val="24"/>
          <w:szCs w:val="24"/>
        </w:rPr>
        <w:t xml:space="preserve">на землях или земельных участках, находящихся </w:t>
      </w:r>
    </w:p>
    <w:p w14:paraId="402BEA4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</w:p>
    <w:p w14:paraId="18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bookmarkStart w:id="3" w:name="_GoBack"/>
      <w:bookmarkEnd w:id="3"/>
      <w:r>
        <w:rPr>
          <w:rFonts w:hint="default" w:ascii="Arial" w:hAnsi="Arial" w:cs="Arial"/>
          <w:sz w:val="24"/>
          <w:szCs w:val="24"/>
        </w:rPr>
        <w:t>в государственной или в муниципальной собственности</w:t>
      </w:r>
      <w:bookmarkEnd w:id="0"/>
      <w:r>
        <w:rPr>
          <w:rFonts w:hint="default" w:ascii="Arial" w:hAnsi="Arial" w:cs="Arial"/>
          <w:sz w:val="24"/>
          <w:szCs w:val="24"/>
        </w:rPr>
        <w:t xml:space="preserve">, размещение которых может осуществляться без предоставления земельных участков и установления сервитутов, а также установка рекламных конструкций на землях или земельных участках, находящихся в государственной или в муниципальной собственности, использование земель или земельного участка, находящихся в государственной или муниципальной собственности, в целях проведения инженерных изысканий; строительства временных или вспомогательных сооружений (включая ограждения, бытовки, навесы); </w:t>
      </w:r>
    </w:p>
    <w:p w14:paraId="19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 аварийно-восстановительный ремонт, в том числе сетей инженерно-технического обеспечения, сооружений;</w:t>
      </w:r>
    </w:p>
    <w:p w14:paraId="1A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1B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- работы по благоустройству, в том числе по вертикальной планировке территорий, за исключением работ по посадке деревьев, кустарников, благоустройства газонов;</w:t>
      </w:r>
    </w:p>
    <w:p w14:paraId="1C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 проведение работ по сохранению объектов культурного наследия, проведение археологических полевых работ.</w:t>
      </w:r>
    </w:p>
    <w:p w14:paraId="1D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В целях настоящего раздела Правил озеленение гражданами территории 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, в том числе посадка деревьев, кустарников, иных зеленых насаждений, разбивка газонов, клумб, не является земляными работами и не требует предоставление разрешения.   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 </w:t>
      </w:r>
    </w:p>
    <w:p w14:paraId="1E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1.4. Уполномоченный орган осуществляет ведение реестра выданных разрешений на бумажном носителе и в электронном виде, проводит мониторинг мест проведения земляных работ в течение периода действия разрешения и состояния восстановленного благоустройства после завершения земляных работ.</w:t>
      </w:r>
    </w:p>
    <w:p w14:paraId="1F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Уполномоченным органом обеспечивается размещение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сведений о выданных разрешениях на официальном сайте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в информационно-телекоммуникационной сети "Интернет" в течение 1 календарного дня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со дня их выдачи.</w:t>
      </w:r>
    </w:p>
    <w:p w14:paraId="20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1.5. Подготовка и проведение земляных работ осуществляются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с соблюдением законодательства Российской Федерации, законодательства Волгоградской области, настоящих Правил, иными муниципальными нормативными правовыми актами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.    </w:t>
      </w:r>
    </w:p>
    <w:p w14:paraId="21000000">
      <w:pPr>
        <w:widowControl w:val="0"/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0"/>
      </w:r>
      <w:r>
        <w:rPr>
          <w:rFonts w:hint="default" w:ascii="Arial" w:hAnsi="Arial" w:cs="Arial"/>
          <w:color w:val="000000"/>
          <w:sz w:val="24"/>
          <w:szCs w:val="24"/>
        </w:rPr>
        <w:t xml:space="preserve">1.6.  Лицо, указанное в пункте 1.1 настоящего раздела Правил, в целях получения разрешения на осуществление земляных работ обращается в уполномоченный орган с заявлением о выдаче разрешения (далее – заявление) по форме, утверждённой уполномоченным органом. </w:t>
      </w:r>
    </w:p>
    <w:p w14:paraId="22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Заявление и прилагаемые к нему документы могут быть представлены заявителями по их выбору в уполномоченный орган или многофункциональный центр лично, либо направлены посредством почтовой связи на бумажном носителе, либо представлены в уполномоченный орган в форме электронного документа.        </w:t>
      </w:r>
    </w:p>
    <w:p w14:paraId="23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Заявление в уполномоченный орган может быть подано в форме электронного документа:</w:t>
      </w:r>
    </w:p>
    <w:p w14:paraId="24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14:paraId="25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14:paraId="26000000">
      <w:pPr>
        <w:widowControl w:val="0"/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1.6.1. К заявлению прилагаются следующие документы:       </w:t>
      </w:r>
    </w:p>
    <w:p w14:paraId="27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14:paraId="28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9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14:paraId="2A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документ, подтверждающий полномочия представителя заявителя,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случае, если с заявлением обращается представитель заявителя. </w:t>
      </w:r>
    </w:p>
    <w:p w14:paraId="2B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                         к заявлению также прилагается доверенность в виде электронного образа такого документа;</w:t>
      </w:r>
    </w:p>
    <w:p w14:paraId="2C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3) проект производства работ, включающий в себя: </w:t>
      </w:r>
    </w:p>
    <w:p w14:paraId="2D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 наименование заказчика; сведения о подрядной организации (полное наименование, место нахождения организации, фамилия, имя, отчество (при наличии) должностного лица, ответственного за проведение работ), в случае если земляные работы будут производиться подрядной организацией; описание места работ (точные адресные ориентиры начала и окончания вскрываемого участка производства работ), вида, объемов и продолжительности работ; описание технологической последовательности выполнения работ с указанием работ, проводимых на проезжей части улиц и магистралей, пешеходных тротуаров; описание мероприятий по восстановлению нарушенного благоустройства; схему производства работ (выкопировку из плана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сетей, с указанием места производства работ);     </w:t>
      </w:r>
    </w:p>
    <w:p w14:paraId="2E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 график производства работ (с указанием даты начала, даты окончания, а также этапов производства работ);</w:t>
      </w:r>
    </w:p>
    <w:p w14:paraId="2F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 лист согласования, содержащий сведения о согласовании проекта производства работ с владельцами (балансодержателями) существующих </w:t>
      </w:r>
      <w:r>
        <w:rPr>
          <w:rFonts w:hint="default" w:ascii="Arial" w:hAnsi="Arial" w:cs="Arial"/>
          <w:color w:val="000000"/>
          <w:spacing w:val="-6"/>
          <w:sz w:val="24"/>
          <w:szCs w:val="24"/>
        </w:rPr>
        <w:t>на земельном участке коммуникаций, собственниками (правообладателями)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земельных участков, чьи права могут быть нарушены в ходе осуществления земляных работ. </w:t>
      </w:r>
    </w:p>
  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- в случае производства земляных работ на проезжей части - схему ограждения места проведения работ с указанием видов работ и сроков их выполнения, согласованную с собственником дорог либо лицом, уполномоченным собственником, в границах территории муниципального образования (не требуется согласование в отношении дорог местного значения, находящихся в муниципальной собственности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i/>
          <w:color w:val="000000"/>
          <w:sz w:val="24"/>
          <w:szCs w:val="24"/>
          <w:u w:val="single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>, которое осуществляется при рассмотрении заявления).</w:t>
      </w:r>
    </w:p>
    <w:p w14:paraId="31000000">
      <w:pPr>
        <w:spacing w:after="0" w:line="240" w:lineRule="auto"/>
        <w:ind w:left="0" w:firstLine="567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color w:val="000000"/>
          <w:sz w:val="24"/>
          <w:szCs w:val="24"/>
        </w:rPr>
        <w:t xml:space="preserve">1.6.2. Для предоставления разрешения с целью осуществления земляных работ в связи с аварийно-восстановительными работами на территории муниципального образования к заявлению прилагаются:  </w:t>
      </w:r>
    </w:p>
    <w:p w14:paraId="32000000">
      <w:pPr>
        <w:spacing w:after="0" w:line="240" w:lineRule="auto"/>
        <w:ind w:left="0" w:firstLine="540"/>
        <w:jc w:val="both"/>
        <w:rPr>
          <w:rFonts w:hint="default"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1) схема производства работ (выкопировку из плана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сетей, с указанием места производства работ); </w:t>
      </w:r>
    </w:p>
    <w:p w14:paraId="33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акт о выявлении аварийной ситуации в месте проведения работ, с приложением фотографии земельного участка с указанием места аварийного участка;</w:t>
      </w:r>
    </w:p>
    <w:p w14:paraId="34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3) документ, подтверждающий уведомление лиц, эксплуатирующих инженерные сети, сооружения и коммуникации, расположенные на смежных с аварией земельных участках, о проведении аварийных работ. </w:t>
      </w:r>
    </w:p>
    <w:p w14:paraId="35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 xml:space="preserve">          1</w:t>
      </w:r>
      <w:r>
        <w:rPr>
          <w:rFonts w:hint="default" w:ascii="Arial" w:hAnsi="Arial" w:cs="Arial"/>
          <w:color w:val="000000"/>
          <w:sz w:val="24"/>
          <w:szCs w:val="24"/>
        </w:rPr>
        <w:t>1.6.3. Для предоставления разрешения с целью продления разрешения лицо, указанное в пункте 1.1 настоящего раздела Правил, предоставляет в уполномоченный орган:</w:t>
      </w:r>
    </w:p>
    <w:p w14:paraId="36000000">
      <w:pPr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1) заявление о продлении разрешения по форме, утверждённой уполномоченным органом;</w:t>
      </w:r>
    </w:p>
    <w:p w14:paraId="37000000">
      <w:pPr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2) график производства земляных работ с уточнением новых сроков производства работ; </w:t>
      </w:r>
    </w:p>
    <w:p w14:paraId="38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3) проект производства работ (в случае изменения технических решений).  </w:t>
      </w:r>
    </w:p>
    <w:p w14:paraId="39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Проведение земляных работ после истечения периода действия разрешения не допускается.      </w:t>
      </w:r>
    </w:p>
    <w:p w14:paraId="3A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1.6.4. При поступлении заявления и прилагаемых к нему документов уполномоченный орган отказывает в приеме к рассмотрению заявления в следующих случаях:</w:t>
      </w:r>
    </w:p>
    <w:p w14:paraId="3B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1) заявление и прилагаемые к нему документы направлены с нарушением требований, установленных пунктом 1.6 настоящего раздела Правил;</w:t>
      </w:r>
    </w:p>
    <w:p w14:paraId="3C000000">
      <w:pPr>
        <w:widowControl w:val="0"/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 к заявлению не приложены документы, предусмотренные пунктами 1.6.1 - 1.6.3 настоящего раздела Правил в случае, если предоставление таких документов является обязательным;</w:t>
      </w:r>
    </w:p>
    <w:p w14:paraId="3D000000">
      <w:pPr>
        <w:pStyle w:val="61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3) заявление и прилагаемые к нему документы поданы в электронной форме с нарушением требований, установленных нормативными правовыми актами и/или содержат повреждения, наличие которых не позволяет в полном объеме использовать информацию и сведения, содержащиеся в документах для принятия решения о выдаче разрешения на осуществление земляных работ;</w:t>
      </w:r>
    </w:p>
    <w:p w14:paraId="3E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4) в заявлении, подписанном усиленной квалифицированной электронной подписью, выявлено несоблюдение установленных условий признания действительности данной подписи. </w:t>
      </w:r>
    </w:p>
    <w:p w14:paraId="3F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Уполномоченный орган уведомляет заявителя об отказе в приеме к рассмотрению заявления в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рабочих дней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1"/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его поступления в уполномоченный орган.</w:t>
      </w:r>
    </w:p>
    <w:p w14:paraId="4000000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 1.7. Уполномоченный орган рассматривает заявление, в отношении которого не принято решение об отказе в приеме к рассмотрению, и прилагаемые к нему документы и выдает (направляет) заявителю разрешение на осуществление земляных работ либо отказывает в его выдаче (продлении):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t>2</w:t>
      </w:r>
    </w:p>
    <w:p w14:paraId="41000000">
      <w:pPr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      1) при рассмотрении заявления </w:t>
      </w:r>
      <w:r>
        <w:rPr>
          <w:rFonts w:hint="default" w:ascii="Arial" w:hAnsi="Arial" w:cs="Arial"/>
          <w:sz w:val="24"/>
          <w:szCs w:val="24"/>
        </w:rPr>
        <w:t xml:space="preserve">о выдаче разрешения на осуществление земляных работ, связанных с проведением плановых (текущих) работ на территории муниципального образования –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в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рабочих дней со дня поступления заявления;</w:t>
      </w:r>
    </w:p>
    <w:p w14:paraId="42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2) при рассмотрении заявления </w:t>
      </w:r>
      <w:r>
        <w:rPr>
          <w:rFonts w:hint="default" w:ascii="Arial" w:hAnsi="Arial" w:cs="Arial"/>
          <w:sz w:val="24"/>
          <w:szCs w:val="24"/>
        </w:rPr>
        <w:t>о выдаче разрешения на осуществление земляных работ в связи с аварийно-восстановительными работами на территории муниципального образования – 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рабочих дней со дня поступления заявления;</w:t>
      </w:r>
    </w:p>
    <w:p w14:paraId="43000000">
      <w:pPr>
        <w:widowControl w:val="0"/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  <w:bookmarkStart w:id="1" w:name="P129"/>
      <w:bookmarkEnd w:id="1"/>
      <w:r>
        <w:rPr>
          <w:rFonts w:hint="default" w:ascii="Arial" w:hAnsi="Arial" w:cs="Arial"/>
          <w:sz w:val="24"/>
          <w:szCs w:val="24"/>
        </w:rPr>
        <w:t xml:space="preserve">       3)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при рассмотрении заявления </w:t>
      </w:r>
      <w:r>
        <w:rPr>
          <w:rFonts w:hint="default" w:ascii="Arial" w:hAnsi="Arial" w:cs="Arial"/>
          <w:sz w:val="24"/>
          <w:szCs w:val="24"/>
        </w:rPr>
        <w:t>о продлении разрешения на право производства земляных работ на территории муниципального     образования</w:t>
      </w:r>
      <w:bookmarkStart w:id="2" w:name="P130"/>
      <w:bookmarkEnd w:id="2"/>
      <w:r>
        <w:rPr>
          <w:rFonts w:hint="default" w:ascii="Arial" w:hAnsi="Arial" w:cs="Arial"/>
          <w:sz w:val="24"/>
          <w:szCs w:val="24"/>
        </w:rPr>
        <w:t xml:space="preserve"> –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в течение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3 </w:t>
      </w:r>
      <w:r>
        <w:rPr>
          <w:rFonts w:hint="default" w:ascii="Arial" w:hAnsi="Arial" w:cs="Arial"/>
          <w:color w:val="000000"/>
          <w:sz w:val="24"/>
          <w:szCs w:val="24"/>
        </w:rPr>
        <w:t>рабочих дней со дня поступления заявления.</w:t>
      </w:r>
    </w:p>
    <w:p w14:paraId="44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уполномоченного органа, проведение аварийно-восстановительных работ осуществляется незамедлительно с последующей подачей заявителем соответствующего заявления в течение_____</w:t>
      </w:r>
      <w:r>
        <w:rPr>
          <w:rFonts w:hint="default" w:ascii="Arial" w:hAnsi="Arial" w:cs="Arial"/>
          <w:color w:val="000000"/>
          <w:sz w:val="24"/>
          <w:szCs w:val="24"/>
        </w:rPr>
        <w:t>рабочих</w:t>
      </w:r>
      <w:r>
        <w:rPr>
          <w:rFonts w:hint="default" w:ascii="Arial" w:hAnsi="Arial" w:cs="Arial"/>
          <w:sz w:val="24"/>
          <w:szCs w:val="24"/>
        </w:rPr>
        <w:t xml:space="preserve"> дней с момента начала аварийно-восстановительных работ. </w:t>
      </w:r>
    </w:p>
    <w:p w14:paraId="45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2"/>
      </w:r>
      <w:r>
        <w:rPr>
          <w:rFonts w:hint="default" w:ascii="Arial" w:hAnsi="Arial" w:cs="Arial"/>
          <w:sz w:val="24"/>
          <w:szCs w:val="24"/>
        </w:rPr>
        <w:t xml:space="preserve">1.8. Уполномоченный орган принимает решение об отказе в выдаче разрешения при наличии хотя бы одного из следующих оснований: </w:t>
      </w:r>
    </w:p>
    <w:p w14:paraId="46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1)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   </w:t>
      </w:r>
    </w:p>
    <w:p w14:paraId="47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2) несоответствие проекта производства работ требованиям, установленным настоящим административным регламентом;</w:t>
      </w:r>
    </w:p>
    <w:p w14:paraId="48000000">
      <w:pPr>
        <w:spacing w:after="0" w:line="240" w:lineRule="auto"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3) невозможность проведения работ в заявленные сроки в связи с проведением праздничных, культурно-массовых и иных мероприятий на территории муниципального образования (земельных участках), в отношении которых запрашивается разрешение на осуществление земляных работ (основание не применяется в случае, когда разрешение запрашивается в целях проведения аварийно-восстановительных работ); </w:t>
      </w:r>
    </w:p>
    <w:p w14:paraId="49000000">
      <w:pPr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4) установлены факты нарушений при проведении земляных работ в соответствии с ранее предоставленным разрешением на осуществление земляных работ: нарушение сроков производства земляных работ на других объектах согласно ранее предоставленным разрешениям на осуществление земляных работ; отсутствие подписанных актов приемки работ по восстановлению дорожных покрытий, озеленения и элементов благоустройства, разрушенных и поврежденных при производстве земляных работ в соответствии с ранее предоставленными уполномоченным органом разрешениями на осуществление земляных работ, завершенных в установленные сроки; неустранение нарушений, выявленных уполномоченным органом при осуществлении им контроля за ходом производства земляных работ в соответствии с ранее предоставленными разрешениями на осуществление таких работ).  </w:t>
      </w:r>
    </w:p>
    <w:p w14:paraId="4A000000">
      <w:pPr>
        <w:pStyle w:val="61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5) наличие противоречивых сведений в заявлении о предоставлении услуги и приложенных к нему документах; </w:t>
      </w:r>
    </w:p>
    <w:p w14:paraId="4B00000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6) проект производства работ (схема производства работ) не согласован(а) землепользователями, землевладельцами, арендаторами, залогодержателями земельных участков, если земельные участки, на которых планируется производить земляные работы, обременены правами указанных лиц.</w:t>
      </w:r>
    </w:p>
    <w:p w14:paraId="4C000000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Основанием для отказа в продлении разрешения является поступление в уполномоченный орган информации о выявленном, в том числе в рамках муниципального контроля в сфере благоустройства территории или муниципального земельного контроля факте отсутствия начатых земляных работ и невозможности их осуществления в случаях, предусмотренных подпунктом 3 настоящего пункта. </w:t>
      </w:r>
    </w:p>
    <w:p w14:paraId="4D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1.9. Участки территории, на которых планируется осуществление земляных работ, должны быть подготовлены для обеспечения безопасного выполнения земляных работ.</w:t>
      </w:r>
    </w:p>
    <w:p w14:paraId="4E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Лица, получившие разрешение, до начала выполнения земляных работ осуществляют фотографирование участка территории, на котором планируется выполнение земляных работ, и обеспечивают сохранность данных цифровых фотографий (исходных цифровых файлов фотографий) для их последующего предоставления в уполномоченный орган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соответствии с пунктом 1.14 настоящего раздела Правил.    </w:t>
      </w:r>
    </w:p>
    <w:p w14:paraId="4F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1.10. При выполнении земляных работ котлованы, ямы, траншеи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и канавы должны быть ограждены в соответствии со следующими требованиями:</w:t>
      </w:r>
    </w:p>
    <w:p w14:paraId="50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высота ограждения участка территории работ - не менее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0,8</w:t>
      </w:r>
      <w:r>
        <w:rPr>
          <w:rFonts w:hint="default" w:ascii="Arial" w:hAnsi="Arial" w:cs="Arial"/>
          <w:color w:val="FF0000"/>
          <w:sz w:val="24"/>
          <w:szCs w:val="24"/>
        </w:rPr>
        <w:t>*</w:t>
      </w:r>
      <w:r>
        <w:rPr>
          <w:rFonts w:hint="default" w:ascii="Arial" w:hAnsi="Arial" w:cs="Arial"/>
          <w:color w:val="000000"/>
          <w:sz w:val="24"/>
          <w:szCs w:val="24"/>
        </w:rPr>
        <w:t>м;</w:t>
      </w:r>
    </w:p>
    <w:p w14:paraId="51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ограждения, примыкающие к местам массового прохода людей, должны иметь высоту не менее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1,1</w:t>
      </w:r>
      <w:r>
        <w:rPr>
          <w:rFonts w:hint="default" w:ascii="Arial" w:hAnsi="Arial" w:cs="Arial"/>
          <w:color w:val="FF0000"/>
          <w:sz w:val="24"/>
          <w:szCs w:val="24"/>
        </w:rPr>
        <w:t>*</w:t>
      </w:r>
      <w:r>
        <w:rPr>
          <w:rFonts w:hint="default" w:ascii="Arial" w:hAnsi="Arial" w:cs="Arial"/>
          <w:color w:val="000000"/>
          <w:sz w:val="24"/>
          <w:szCs w:val="24"/>
        </w:rPr>
        <w:t>м;</w:t>
      </w:r>
    </w:p>
    <w:p w14:paraId="52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ограждения не должны иметь проемов, кроме ворот и калиток, контролируемых в течение рабочего времени и запираемых после его окончания. </w:t>
      </w:r>
    </w:p>
    <w:p w14:paraId="53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 </w:t>
      </w:r>
    </w:p>
    <w:p w14:paraId="54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ab/>
      </w:r>
      <w:r>
        <w:rPr>
          <w:rFonts w:hint="default" w:ascii="Arial" w:hAnsi="Arial" w:cs="Arial"/>
          <w:color w:val="000000"/>
          <w:sz w:val="24"/>
          <w:szCs w:val="24"/>
        </w:rPr>
        <w:t>1.11. При проведении земляных работ осуществляется:</w:t>
      </w:r>
    </w:p>
    <w:p w14:paraId="55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1.11.1. обеспечение сохранности зеленых насаждений, расположенных на месте проведения земляных работ, за исключением случая выдачи органом местного самоуправления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порубочного билета и (или) разрешения на пересадку деревьев и кустарников в соответствии с Законом Волгоградской области от 07.12.2001 № 640-ОД "О защите зеленых насаждений в населенных пунктах Волгоградской области";   </w:t>
      </w:r>
    </w:p>
    <w:p w14:paraId="56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1.11.2. установление ограждений в соответствии с требованиями, предусмотренными пунктом 1.10 настоящего раздела Правил, а также устройство аварийного освещения, информационных стендов и указателей, обеспечивающих безопасность людей и транспорта; </w:t>
      </w:r>
    </w:p>
    <w:p w14:paraId="57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1.11.3. при выполнении земляных работ вблизи проезжей части дорог или на ней обеспечивается видимость мест проведения работ для водителей и пешеходов, в том числе в темное время суток с помощью сигнальных фонарей;</w:t>
      </w:r>
    </w:p>
    <w:p w14:paraId="58000000">
      <w:pPr>
        <w:spacing w:after="0" w:line="240" w:lineRule="auto"/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1.11.4. при выезде автотранспорта со строительных площадок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и участков выполнения земляных работ обеспечивается очистка или мойка колес автотранспорта;</w:t>
      </w:r>
    </w:p>
    <w:p w14:paraId="59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 При выполнении земляных работ запрещается: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3"/>
      </w:r>
    </w:p>
    <w:p w14:paraId="5A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1.12.1. допускать повреждение инженерных сетей и коммуникаций, существующих зданий, строений, сооружений, малых архитектурных форм, деревьев, кустарников, иных зеленых насаждений и элементов благоустройства;</w:t>
      </w:r>
    </w:p>
    <w:p w14:paraId="5B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1.12.2. осуществлять откачку воды из колодцев, траншей, котлованов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>на тротуары и проезжую часть дорог;</w:t>
      </w:r>
    </w:p>
    <w:p w14:paraId="5C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1.12.3. загрязнять территории, расположенные рядом с местом проведения земляных работ, засыпать грунтом крышки люков колодцев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и камер, решеток дождеприемных колодцев, лотков дорожных покрытий, деревья, кустарники, иные зеленые насаждения, водопропускные трубы, кюветы, газоны, клумбы; </w:t>
      </w:r>
    </w:p>
    <w:p w14:paraId="5D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1.12.4.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выполнения земляных работ;</w:t>
      </w:r>
    </w:p>
    <w:p w14:paraId="5E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1.12.5. оставлять на проезжей части дорог и тротуарах, газонах землю и строительные материалы после окончания выполнения земляных работ;</w:t>
      </w:r>
    </w:p>
    <w:p w14:paraId="5F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1.12.6. занимать территорию за пределами границ участка выполнения земляных работ;</w:t>
      </w:r>
    </w:p>
    <w:p w14:paraId="60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1.12.7. загромождать транспортные и пешеходные коммуникации, преграждать проходы и въезды на общественные и дворовые территории.</w:t>
      </w:r>
    </w:p>
    <w:p w14:paraId="61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если выполнение земляных работ ограничивает или перекрывает движение транспорта, осуществляется информирование населения муниципального образования через средства массовой информации, в том числе в сети "Интернет", о сроках закрытия маршрута и(или) изменения схемы движения транспорта;</w:t>
      </w:r>
    </w:p>
    <w:p w14:paraId="62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1.12.8. движение машин на гусеничном ходу по участкам улично-дорожной сети.</w:t>
      </w:r>
    </w:p>
    <w:p w14:paraId="63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1.13. После выполнения земляных работ лицо, получившее разрешение, осуществляет мероприятия в установленные в разрешении сроки по:    </w:t>
      </w:r>
    </w:p>
    <w:p w14:paraId="64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- 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, где производились земляные работы; </w:t>
      </w:r>
    </w:p>
    <w:p w14:paraId="65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- компенсационному озеленению (в случае осуществления вырубки деревьев, кустарников, иных зеленых насаждений на основании выданного органом местного самоуправления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порубочного билета) или пересадке деревьев, кустарников, иных зеленых насаждений (в случае осуществления соответствующей пересадки на основании выданного органом местного самоуправления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разрешения на пересадку деревьев и кустарников,  иных зеленых насаждений).</w:t>
      </w:r>
    </w:p>
    <w:p w14:paraId="66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1.14. В течение 2 календарных дней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4"/>
      </w:r>
      <w:r>
        <w:rPr>
          <w:rFonts w:hint="default" w:ascii="Arial" w:hAnsi="Arial" w:cs="Arial"/>
          <w:color w:val="000000"/>
          <w:sz w:val="24"/>
          <w:szCs w:val="24"/>
        </w:rPr>
        <w:t xml:space="preserve"> после завершения земляных работ и выполнения мероприятий, предусмотренных пунктом 1.13 настоящего раздела Правил (далее – мероприятия), лицо, получившее разрешение, направляет в уполномоченный орган уведомление о завершении земляных работ с приложением фотографий, указанных в абзаце втором пункта 1.9 настоящего раздела Правил, и фотографий участка территории, на котором выполнены земляные работы.</w:t>
      </w:r>
    </w:p>
    <w:p w14:paraId="67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Уполномоченный орган в течение 5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получения от лица, получившего разрешение, уведомления и фотографий, предусмотренных абзацем первым настоящего пункта Правил, составляет акт о завершении земляных работ.</w:t>
      </w:r>
      <w:r>
        <w:rPr>
          <w:rStyle w:val="9"/>
          <w:rFonts w:hint="default" w:ascii="Arial" w:hAnsi="Arial" w:cs="Arial"/>
          <w:b/>
          <w:color w:val="FF0000"/>
          <w:sz w:val="24"/>
          <w:szCs w:val="24"/>
        </w:rPr>
        <w:footnoteReference w:id="5"/>
      </w:r>
    </w:p>
    <w:p w14:paraId="68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установления факта выполнения земляных работ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соответствии с разрешением и осуществления мероприятий, </w:t>
      </w:r>
      <w:r>
        <w:rPr>
          <w:rFonts w:hint="default" w:ascii="Arial" w:hAnsi="Arial" w:cs="Arial"/>
          <w:color w:val="000000"/>
          <w:spacing w:val="-4"/>
          <w:sz w:val="24"/>
          <w:szCs w:val="24"/>
        </w:rPr>
        <w:t xml:space="preserve">предусмотренных пунктом 1.13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настоящего раздела </w:t>
      </w:r>
      <w:r>
        <w:rPr>
          <w:rFonts w:hint="default" w:ascii="Arial" w:hAnsi="Arial" w:cs="Arial"/>
          <w:color w:val="000000"/>
          <w:spacing w:val="-4"/>
          <w:sz w:val="24"/>
          <w:szCs w:val="24"/>
        </w:rPr>
        <w:t>Правил, уполномоченный орган направляет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лицу, получившему разрешение, акт о завершении земляных работ в течение 2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его составления.</w:t>
      </w:r>
    </w:p>
    <w:p w14:paraId="69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установления факта выполнения земляных работ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не в соответствии с разрешением и (или) осуществления не всех мероприятий, </w:t>
      </w:r>
      <w:r>
        <w:rPr>
          <w:rFonts w:hint="default" w:ascii="Arial" w:hAnsi="Arial" w:cs="Arial"/>
          <w:spacing w:val="-4"/>
          <w:sz w:val="24"/>
          <w:szCs w:val="24"/>
        </w:rPr>
        <w:t xml:space="preserve">предусмотренных пунктом 1.13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настоящего раздела </w:t>
      </w:r>
      <w:r>
        <w:rPr>
          <w:rFonts w:hint="default" w:ascii="Arial" w:hAnsi="Arial" w:cs="Arial"/>
          <w:spacing w:val="-4"/>
          <w:sz w:val="24"/>
          <w:szCs w:val="24"/>
        </w:rPr>
        <w:t>Правил,</w:t>
      </w:r>
      <w:r>
        <w:rPr>
          <w:rFonts w:hint="default" w:ascii="Arial" w:hAnsi="Arial" w:cs="Arial"/>
          <w:sz w:val="24"/>
          <w:szCs w:val="24"/>
        </w:rPr>
        <w:t xml:space="preserve"> уполномоченный орган направляет лицу, получившему разрешение, акт о завершении земляных работ </w:t>
      </w:r>
      <w:r>
        <w:rPr>
          <w:rFonts w:hint="default" w:ascii="Arial" w:hAnsi="Arial" w:cs="Arial"/>
          <w:spacing w:val="-2"/>
          <w:sz w:val="24"/>
          <w:szCs w:val="24"/>
        </w:rPr>
        <w:t>с указанием выявленных нарушений</w:t>
      </w:r>
      <w:r>
        <w:rPr>
          <w:rFonts w:hint="default" w:ascii="Arial" w:hAnsi="Arial" w:cs="Arial"/>
          <w:sz w:val="24"/>
          <w:szCs w:val="24"/>
        </w:rPr>
        <w:t>. Данный акт направляется в течение 2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 xml:space="preserve">6 </w:t>
      </w:r>
      <w:r>
        <w:rPr>
          <w:rFonts w:hint="default" w:ascii="Arial" w:hAnsi="Arial" w:cs="Arial"/>
          <w:sz w:val="24"/>
          <w:szCs w:val="24"/>
        </w:rPr>
        <w:t>со дня его составления</w:t>
      </w:r>
      <w:r>
        <w:rPr>
          <w:rFonts w:hint="default" w:ascii="Arial" w:hAnsi="Arial" w:cs="Arial"/>
          <w:spacing w:val="-2"/>
          <w:sz w:val="24"/>
          <w:szCs w:val="24"/>
        </w:rPr>
        <w:t>.</w:t>
      </w:r>
    </w:p>
    <w:p w14:paraId="6A000000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если по истечении 15 календарных дней</w:t>
      </w:r>
      <w:r>
        <w:rPr>
          <w:rFonts w:hint="default" w:ascii="Arial" w:hAnsi="Arial" w:cs="Arial"/>
          <w:b/>
          <w:color w:val="FF0000"/>
          <w:sz w:val="24"/>
          <w:szCs w:val="24"/>
          <w:vertAlign w:val="superscript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со дня направления лицу, получившему разрешение, акта о завершении земляных работ, указанного в абзаце четвертом настоящего пункта, выявленные нарушения не устранены, уполномоченный орган обращается в суд с исковым заявлением о приведении земельного участка</w:t>
      </w:r>
      <w:r>
        <w:rPr>
          <w:rFonts w:hint="default" w:ascii="Arial" w:hAnsi="Arial" w:cs="Arial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color w:val="000000"/>
          <w:sz w:val="24"/>
          <w:szCs w:val="24"/>
        </w:rPr>
        <w:t xml:space="preserve">в первоначальное состояние, восстановлении благоустройства территории.". </w:t>
      </w:r>
    </w:p>
    <w:p w14:paraId="6BA253BC">
      <w:pPr>
        <w:spacing w:after="0" w:line="240" w:lineRule="auto"/>
        <w:ind w:left="0" w:firstLine="708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 w14:paraId="525D4AFF">
      <w:pPr>
        <w:keepNext w:val="0"/>
        <w:keepLines w:val="0"/>
        <w:widowControl/>
        <w:suppressLineNumbers w:val="0"/>
        <w:ind w:firstLine="600" w:firstLineChars="25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A"/>
          <w:spacing w:val="0"/>
          <w:kern w:val="0"/>
          <w:sz w:val="24"/>
          <w:szCs w:val="24"/>
          <w:lang w:val="ru-RU" w:eastAsia="zh-CN" w:bidi="ar"/>
        </w:rPr>
        <w:t>2.</w:t>
      </w:r>
      <w:r>
        <w:rPr>
          <w:rFonts w:hint="default" w:ascii="Arial" w:hAnsi="Arial" w:eastAsia="SimSun" w:cs="Arial"/>
          <w:color w:val="00000A"/>
          <w:spacing w:val="0"/>
          <w:kern w:val="0"/>
          <w:sz w:val="24"/>
          <w:szCs w:val="24"/>
          <w:lang w:val="en-US" w:eastAsia="zh-CN" w:bidi="ar"/>
        </w:rPr>
        <w:t xml:space="preserve">Раздел «VI. Основные требования к проведению земляных работ и </w:t>
      </w:r>
    </w:p>
    <w:p w14:paraId="75B065F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A"/>
          <w:spacing w:val="0"/>
          <w:kern w:val="0"/>
          <w:sz w:val="24"/>
          <w:szCs w:val="24"/>
          <w:lang w:val="en-US" w:eastAsia="zh-CN" w:bidi="ar"/>
        </w:rPr>
        <w:t>обеспечению контроля за их производством» исключить.</w:t>
      </w:r>
    </w:p>
    <w:p w14:paraId="6C000000">
      <w:pPr>
        <w:widowControl w:val="0"/>
        <w:spacing w:after="0" w:line="240" w:lineRule="auto"/>
        <w:ind w:firstLine="600" w:firstLineChars="25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3.</w:t>
      </w:r>
      <w:r>
        <w:rPr>
          <w:rFonts w:hint="default" w:ascii="Arial" w:hAnsi="Arial" w:cs="Arial"/>
          <w:color w:val="000000"/>
          <w:sz w:val="24"/>
          <w:szCs w:val="24"/>
        </w:rPr>
        <w:t xml:space="preserve"> Настоящее </w:t>
      </w:r>
      <w:r>
        <w:rPr>
          <w:rFonts w:hint="default" w:ascii="Arial" w:hAnsi="Arial" w:cs="Arial"/>
          <w:sz w:val="24"/>
          <w:szCs w:val="24"/>
        </w:rPr>
        <w:t>решение вступает в силу после его официального обнародования путем официального опубликования.</w:t>
      </w:r>
    </w:p>
    <w:p w14:paraId="71000000">
      <w:pPr>
        <w:widowControl w:val="0"/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 w14:paraId="6215ACCC">
      <w:pPr>
        <w:widowControl w:val="0"/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 w14:paraId="620CCE85">
      <w:pPr>
        <w:pStyle w:val="68"/>
        <w:jc w:val="both"/>
        <w:rPr>
          <w:rFonts w:hint="default" w:ascii="Arial" w:hAnsi="Arial" w:cs="Arial"/>
          <w:sz w:val="24"/>
          <w:szCs w:val="24"/>
        </w:rPr>
      </w:pPr>
    </w:p>
    <w:p w14:paraId="631B8B14">
      <w:pPr>
        <w:widowControl w:val="0"/>
        <w:suppressAutoHyphens/>
        <w:autoSpaceDE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zh-CN"/>
        </w:rPr>
      </w:pPr>
      <w:r>
        <w:rPr>
          <w:rFonts w:hint="default" w:ascii="Arial" w:hAnsi="Arial" w:eastAsia="Times New Roman" w:cs="Arial"/>
          <w:sz w:val="24"/>
          <w:szCs w:val="24"/>
          <w:lang w:eastAsia="zh-CN"/>
        </w:rPr>
        <w:t xml:space="preserve">Глава  </w:t>
      </w:r>
    </w:p>
    <w:p w14:paraId="34B6A09C">
      <w:pPr>
        <w:widowControl w:val="0"/>
        <w:suppressAutoHyphens/>
        <w:autoSpaceDE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zh-CN"/>
        </w:rPr>
      </w:pPr>
      <w:r>
        <w:rPr>
          <w:rFonts w:hint="default" w:ascii="Arial" w:hAnsi="Arial" w:eastAsia="Times New Roman" w:cs="Arial"/>
          <w:sz w:val="24"/>
          <w:szCs w:val="24"/>
          <w:lang w:eastAsia="zh-CN"/>
        </w:rPr>
        <w:t>Большевистского сельского  поселения                            С.Ю. Скуратова</w:t>
      </w:r>
    </w:p>
    <w:p w14:paraId="56F51F75">
      <w:pPr>
        <w:widowControl w:val="0"/>
        <w:suppressAutoHyphens/>
        <w:autoSpaceDE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zh-CN"/>
        </w:rPr>
      </w:pPr>
      <w:r>
        <w:rPr>
          <w:rFonts w:hint="default" w:ascii="Arial" w:hAnsi="Arial" w:eastAsia="Times New Roman" w:cs="Arial"/>
          <w:sz w:val="24"/>
          <w:szCs w:val="24"/>
          <w:lang w:eastAsia="zh-CN"/>
        </w:rPr>
        <w:t xml:space="preserve">Еланского муниципального района                                                            </w:t>
      </w:r>
    </w:p>
    <w:p w14:paraId="2759C3D7">
      <w:pPr>
        <w:pStyle w:val="6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zh-CN"/>
        </w:rPr>
        <w:t>Волгоградской области</w:t>
      </w:r>
      <w:r>
        <w:rPr>
          <w:rFonts w:hint="default" w:ascii="Arial" w:hAnsi="Arial" w:eastAsia="Times New Roman" w:cs="Arial"/>
          <w:sz w:val="24"/>
          <w:szCs w:val="24"/>
          <w:lang w:eastAsia="zh-CN"/>
        </w:rPr>
        <w:tab/>
      </w:r>
      <w:r>
        <w:rPr>
          <w:rFonts w:hint="default" w:ascii="Arial" w:hAnsi="Arial" w:eastAsia="Times New Roman" w:cs="Arial"/>
          <w:sz w:val="24"/>
          <w:szCs w:val="24"/>
          <w:lang w:eastAsia="zh-CN"/>
        </w:rPr>
        <w:tab/>
      </w:r>
    </w:p>
    <w:p w14:paraId="58886538">
      <w:pPr>
        <w:widowControl w:val="0"/>
        <w:spacing w:after="0" w:line="240" w:lineRule="auto"/>
        <w:jc w:val="both"/>
        <w:rPr>
          <w:rFonts w:hint="default" w:ascii="Arial" w:hAnsi="Arial" w:cs="Arial"/>
          <w:color w:val="000000"/>
          <w:sz w:val="24"/>
          <w:szCs w:val="24"/>
        </w:rPr>
      </w:pPr>
    </w:p>
    <w:sectPr>
      <w:headerReference r:id="rId5" w:type="default"/>
      <w:pgSz w:w="11906" w:h="16838"/>
      <w:pgMar w:top="1134" w:right="1134" w:bottom="1134" w:left="1701" w:header="709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pPr>
        <w:spacing w:before="0" w:after="0" w:line="276" w:lineRule="auto"/>
      </w:pPr>
      <w:r>
        <w:separator/>
      </w:r>
    </w:p>
  </w:footnote>
  <w:footnote w:type="continuationSeparator" w:id="13">
    <w:p>
      <w:pPr>
        <w:spacing w:before="0" w:after="0" w:line="276" w:lineRule="auto"/>
      </w:pPr>
      <w:r>
        <w:continuationSeparator/>
      </w:r>
    </w:p>
  </w:footnote>
  <w:footnote w:id="0">
    <w:p w14:paraId="72000000">
      <w:pPr>
        <w:pStyle w:val="57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vertAlign w:val="superscript"/>
        </w:rPr>
        <w:footnoteRef/>
      </w:r>
      <w:r>
        <w:rPr>
          <w:rFonts w:ascii="Times New Roman" w:hAnsi="Times New Roman"/>
          <w:b/>
          <w:color w:val="FF0000"/>
          <w:sz w:val="22"/>
        </w:rPr>
        <w:t xml:space="preserve"> </w:t>
      </w:r>
      <w:r>
        <w:rPr>
          <w:rFonts w:ascii="Times New Roman" w:hAnsi="Times New Roman"/>
          <w:color w:val="FF0000"/>
          <w:sz w:val="22"/>
        </w:rPr>
        <w:t>Данный перечень документов является примерным и может быть сформирован органами местного самоуправления самостоятельно с учетом специфики конкретного муниципального образования и положений действующего законодательства.</w:t>
      </w:r>
    </w:p>
  </w:footnote>
  <w:footnote w:id="1">
    <w:p w14:paraId="73000000">
      <w:pPr>
        <w:pStyle w:val="57"/>
        <w:jc w:val="both"/>
        <w:rPr>
          <w:rFonts w:ascii="Times New Roman" w:hAnsi="Times New Roman"/>
        </w:rPr>
      </w:pPr>
    </w:p>
  </w:footnote>
  <w:footnote w:id="2">
    <w:p w14:paraId="75000000">
      <w:pPr>
        <w:pStyle w:val="57"/>
        <w:jc w:val="both"/>
        <w:rPr>
          <w:b/>
          <w:color w:val="FF0000"/>
          <w:sz w:val="22"/>
        </w:rPr>
      </w:pPr>
    </w:p>
  </w:footnote>
  <w:footnote w:id="3">
    <w:p w14:paraId="77000000">
      <w:pPr>
        <w:pStyle w:val="57"/>
        <w:jc w:val="both"/>
        <w:rPr>
          <w:sz w:val="22"/>
        </w:rPr>
      </w:pPr>
    </w:p>
  </w:footnote>
  <w:footnote w:id="4">
    <w:p w14:paraId="78000000">
      <w:pPr>
        <w:pStyle w:val="57"/>
        <w:jc w:val="both"/>
        <w:rPr>
          <w:rFonts w:ascii="Times New Roman" w:hAnsi="Times New Roman"/>
          <w:sz w:val="22"/>
        </w:rPr>
      </w:pPr>
    </w:p>
  </w:footnote>
  <w:footnote w:id="5">
    <w:p w14:paraId="79000000">
      <w:pPr>
        <w:pStyle w:val="57"/>
        <w:jc w:val="both"/>
        <w:rPr>
          <w:rFonts w:ascii="Times New Roman" w:hAnsi="Times New Roman"/>
          <w:b/>
          <w:sz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9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12"/>
    <w:footnote w:id="13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0D37EE4"/>
    <w:rsid w:val="0F356581"/>
    <w:rsid w:val="18904501"/>
    <w:rsid w:val="27F13E3F"/>
    <w:rsid w:val="2ACA2826"/>
    <w:rsid w:val="3E2A73E7"/>
    <w:rsid w:val="4C741D4E"/>
    <w:rsid w:val="56167373"/>
    <w:rsid w:val="654E7524"/>
    <w:rsid w:val="7AB56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A"/>
      <w:spacing w:val="0"/>
      <w:sz w:val="22"/>
    </w:rPr>
  </w:style>
  <w:style w:type="paragraph" w:styleId="2">
    <w:name w:val="heading 1"/>
    <w:basedOn w:val="1"/>
    <w:qFormat/>
    <w:uiPriority w:val="9"/>
    <w:pPr>
      <w:spacing w:beforeAutospacing="1" w:afterAutospacing="1" w:line="240" w:lineRule="auto"/>
      <w:outlineLvl w:val="0"/>
    </w:pPr>
    <w:rPr>
      <w:b/>
      <w:color w:val="000000"/>
      <w:sz w:val="48"/>
    </w:rPr>
  </w:style>
  <w:style w:type="paragraph" w:styleId="3">
    <w:name w:val="heading 2"/>
    <w:basedOn w:val="1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annotation reference"/>
    <w:qFormat/>
    <w:uiPriority w:val="0"/>
    <w:rPr>
      <w:sz w:val="16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Strong"/>
    <w:qFormat/>
    <w:uiPriority w:val="0"/>
    <w:rPr>
      <w:b/>
    </w:rPr>
  </w:style>
  <w:style w:type="paragraph" w:styleId="13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4">
    <w:name w:val="caption"/>
    <w:basedOn w:val="1"/>
    <w:qFormat/>
    <w:uiPriority w:val="0"/>
    <w:pPr>
      <w:spacing w:before="120" w:after="120"/>
    </w:pPr>
    <w:rPr>
      <w:i/>
      <w:sz w:val="24"/>
    </w:rPr>
  </w:style>
  <w:style w:type="paragraph" w:styleId="15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16">
    <w:name w:val="index 1"/>
    <w:basedOn w:val="1"/>
    <w:next w:val="1"/>
    <w:qFormat/>
    <w:uiPriority w:val="0"/>
    <w:pPr>
      <w:ind w:left="220" w:hanging="220"/>
    </w:pPr>
  </w:style>
  <w:style w:type="paragraph" w:styleId="17">
    <w:name w:val="annotation subject"/>
    <w:basedOn w:val="15"/>
    <w:next w:val="15"/>
    <w:qFormat/>
    <w:uiPriority w:val="0"/>
    <w:rPr>
      <w:b/>
    </w:rPr>
  </w:style>
  <w:style w:type="paragraph" w:styleId="18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Body Text"/>
    <w:basedOn w:val="1"/>
    <w:qFormat/>
    <w:uiPriority w:val="0"/>
    <w:pPr>
      <w:spacing w:after="140" w:line="288" w:lineRule="auto"/>
    </w:pPr>
  </w:style>
  <w:style w:type="paragraph" w:styleId="23">
    <w:name w:val="index heading"/>
    <w:basedOn w:val="1"/>
    <w:qFormat/>
    <w:uiPriority w:val="0"/>
  </w:style>
  <w:style w:type="paragraph" w:styleId="2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1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32">
    <w:name w:val="List"/>
    <w:basedOn w:val="22"/>
    <w:qFormat/>
    <w:uiPriority w:val="0"/>
  </w:style>
  <w:style w:type="paragraph" w:styleId="33">
    <w:name w:val="Normal (Web)"/>
    <w:basedOn w:val="1"/>
    <w:qFormat/>
    <w:uiPriority w:val="0"/>
    <w:pPr>
      <w:spacing w:beforeAutospacing="1" w:afterAutospacing="1" w:line="240" w:lineRule="auto"/>
    </w:pPr>
    <w:rPr>
      <w:sz w:val="24"/>
    </w:rPr>
  </w:style>
  <w:style w:type="paragraph" w:styleId="34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3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</w:rPr>
  </w:style>
  <w:style w:type="table" w:styleId="36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7">
    <w:name w:val="blk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38">
    <w:name w:val="blk1"/>
    <w:link w:val="37"/>
    <w:qFormat/>
    <w:uiPriority w:val="0"/>
  </w:style>
  <w:style w:type="paragraph" w:customStyle="1" w:styleId="39">
    <w:name w:val="Нижний колонтитул Знак"/>
    <w:link w:val="4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40">
    <w:name w:val="Нижний колонтитул Знак1"/>
    <w:link w:val="39"/>
    <w:qFormat/>
    <w:uiPriority w:val="0"/>
  </w:style>
  <w:style w:type="paragraph" w:customStyle="1" w:styleId="41">
    <w:name w:val="Интернет-ссылка"/>
    <w:link w:val="4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80"/>
      <w:spacing w:val="0"/>
      <w:sz w:val="20"/>
      <w:u w:val="single"/>
    </w:rPr>
  </w:style>
  <w:style w:type="character" w:customStyle="1" w:styleId="42">
    <w:name w:val="Интернет-ссылка1"/>
    <w:link w:val="41"/>
    <w:qFormat/>
    <w:uiPriority w:val="0"/>
    <w:rPr>
      <w:color w:val="000080"/>
      <w:u w:val="single"/>
    </w:rPr>
  </w:style>
  <w:style w:type="paragraph" w:customStyle="1" w:styleId="43">
    <w:name w:val="Endnote"/>
    <w:link w:val="44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44">
    <w:name w:val="Endnote1"/>
    <w:link w:val="43"/>
    <w:qFormat/>
    <w:uiPriority w:val="0"/>
    <w:rPr>
      <w:rFonts w:ascii="XO Thames" w:hAnsi="XO Thames"/>
      <w:sz w:val="22"/>
    </w:rPr>
  </w:style>
  <w:style w:type="paragraph" w:customStyle="1" w:styleId="45">
    <w:name w:val="pcenter"/>
    <w:basedOn w:val="1"/>
    <w:link w:val="46"/>
    <w:qFormat/>
    <w:uiPriority w:val="0"/>
    <w:pPr>
      <w:spacing w:beforeAutospacing="1" w:afterAutospacing="1" w:line="240" w:lineRule="auto"/>
    </w:pPr>
    <w:rPr>
      <w:sz w:val="24"/>
    </w:rPr>
  </w:style>
  <w:style w:type="character" w:customStyle="1" w:styleId="46">
    <w:name w:val="pcenter1"/>
    <w:link w:val="45"/>
    <w:qFormat/>
    <w:uiPriority w:val="0"/>
    <w:rPr>
      <w:sz w:val="24"/>
    </w:rPr>
  </w:style>
  <w:style w:type="paragraph" w:customStyle="1" w:styleId="47">
    <w:name w:val="ConsPlusNonformat"/>
    <w:link w:val="48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8">
    <w:name w:val="ConsPlusNonformat1"/>
    <w:link w:val="47"/>
    <w:qFormat/>
    <w:uiPriority w:val="0"/>
    <w:rPr>
      <w:rFonts w:ascii="Courier New" w:hAnsi="Courier New"/>
    </w:rPr>
  </w:style>
  <w:style w:type="paragraph" w:customStyle="1" w:styleId="49">
    <w:name w:val="ConsPlusTitle"/>
    <w:link w:val="50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00000A"/>
      <w:spacing w:val="0"/>
      <w:sz w:val="22"/>
    </w:rPr>
  </w:style>
  <w:style w:type="character" w:customStyle="1" w:styleId="50">
    <w:name w:val="ConsPlusTitle1"/>
    <w:link w:val="49"/>
    <w:qFormat/>
    <w:uiPriority w:val="0"/>
    <w:rPr>
      <w:b/>
      <w:color w:val="00000A"/>
      <w:sz w:val="22"/>
    </w:rPr>
  </w:style>
  <w:style w:type="paragraph" w:customStyle="1" w:styleId="51">
    <w:name w:val="formattext"/>
    <w:basedOn w:val="1"/>
    <w:link w:val="52"/>
    <w:qFormat/>
    <w:uiPriority w:val="0"/>
    <w:pPr>
      <w:spacing w:beforeAutospacing="1" w:afterAutospacing="1" w:line="240" w:lineRule="auto"/>
    </w:pPr>
    <w:rPr>
      <w:sz w:val="24"/>
    </w:rPr>
  </w:style>
  <w:style w:type="character" w:customStyle="1" w:styleId="52">
    <w:name w:val="formattext1"/>
    <w:link w:val="51"/>
    <w:qFormat/>
    <w:uiPriority w:val="0"/>
    <w:rPr>
      <w:sz w:val="24"/>
    </w:rPr>
  </w:style>
  <w:style w:type="paragraph" w:customStyle="1" w:styleId="53">
    <w:name w:val="Заголовок1"/>
    <w:basedOn w:val="1"/>
    <w:next w:val="22"/>
    <w:link w:val="54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54">
    <w:name w:val="Заголовок11"/>
    <w:link w:val="53"/>
    <w:qFormat/>
    <w:uiPriority w:val="0"/>
    <w:rPr>
      <w:rFonts w:ascii="Liberation Sans" w:hAnsi="Liberation Sans"/>
      <w:sz w:val="28"/>
    </w:rPr>
  </w:style>
  <w:style w:type="paragraph" w:customStyle="1" w:styleId="55">
    <w:name w:val="_Style 48"/>
    <w:link w:val="56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A"/>
      <w:spacing w:val="0"/>
      <w:sz w:val="22"/>
    </w:rPr>
  </w:style>
  <w:style w:type="character" w:customStyle="1" w:styleId="56">
    <w:name w:val="_Style 49"/>
    <w:link w:val="55"/>
    <w:semiHidden/>
    <w:unhideWhenUsed/>
    <w:qFormat/>
    <w:uiPriority w:val="0"/>
    <w:rPr>
      <w:color w:val="00000A"/>
      <w:sz w:val="22"/>
    </w:rPr>
  </w:style>
  <w:style w:type="paragraph" w:customStyle="1" w:styleId="57">
    <w:name w:val="Footnote"/>
    <w:basedOn w:val="1"/>
    <w:link w:val="58"/>
    <w:qFormat/>
    <w:uiPriority w:val="0"/>
    <w:pPr>
      <w:spacing w:after="0" w:line="240" w:lineRule="auto"/>
    </w:pPr>
    <w:rPr>
      <w:sz w:val="20"/>
    </w:rPr>
  </w:style>
  <w:style w:type="character" w:customStyle="1" w:styleId="58">
    <w:name w:val="Footnote1"/>
    <w:link w:val="57"/>
    <w:qFormat/>
    <w:uiPriority w:val="0"/>
    <w:rPr>
      <w:sz w:val="20"/>
    </w:rPr>
  </w:style>
  <w:style w:type="paragraph" w:customStyle="1" w:styleId="59">
    <w:name w:val="Header and Footer"/>
    <w:link w:val="60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60">
    <w:name w:val="Header and Footer1"/>
    <w:link w:val="59"/>
    <w:qFormat/>
    <w:uiPriority w:val="0"/>
    <w:rPr>
      <w:rFonts w:ascii="XO Thames" w:hAnsi="XO Thames"/>
      <w:sz w:val="28"/>
    </w:rPr>
  </w:style>
  <w:style w:type="paragraph" w:customStyle="1" w:styleId="61">
    <w:name w:val="ConsPlusNormal"/>
    <w:link w:val="62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A"/>
      <w:spacing w:val="0"/>
      <w:sz w:val="22"/>
    </w:rPr>
  </w:style>
  <w:style w:type="character" w:customStyle="1" w:styleId="62">
    <w:name w:val="ConsPlusNormal1"/>
    <w:link w:val="61"/>
    <w:qFormat/>
    <w:uiPriority w:val="0"/>
    <w:rPr>
      <w:color w:val="00000A"/>
      <w:sz w:val="22"/>
    </w:rPr>
  </w:style>
  <w:style w:type="paragraph" w:customStyle="1" w:styleId="63">
    <w:name w:val="Верхний колонтитул Знак"/>
    <w:link w:val="6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64">
    <w:name w:val="Верхний колонтитул Знак1"/>
    <w:link w:val="63"/>
    <w:qFormat/>
    <w:uiPriority w:val="0"/>
  </w:style>
  <w:style w:type="paragraph" w:styleId="65">
    <w:name w:val="List Paragraph"/>
    <w:basedOn w:val="1"/>
    <w:qFormat/>
    <w:uiPriority w:val="0"/>
    <w:pPr>
      <w:ind w:left="720" w:firstLine="0"/>
    </w:pPr>
  </w:style>
  <w:style w:type="paragraph" w:customStyle="1" w:styleId="66">
    <w:name w:val="apple-converted-space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0"/>
    </w:rPr>
  </w:style>
  <w:style w:type="character" w:customStyle="1" w:styleId="67">
    <w:name w:val="apple-converted-space1"/>
    <w:link w:val="66"/>
    <w:qFormat/>
    <w:uiPriority w:val="0"/>
  </w:style>
  <w:style w:type="paragraph" w:styleId="6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2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2025-07-09T06:36:00Z</dcterms:created>
  <dc:creator>user</dc:creator>
  <cp:lastModifiedBy>user</cp:lastModifiedBy>
  <cp:lastPrinted>2025-08-15T05:47:51Z</cp:lastPrinted>
  <dcterms:modified xsi:type="dcterms:W3CDTF">2025-08-15T05:49:56Z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7689A278A1C640E5AFB1AE9E1249256C_13</vt:lpwstr>
  </property>
</Properties>
</file>