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РОССИЙСКАЯ ФЕДЕРАЦИЯ</w:t>
      </w:r>
    </w:p>
    <w:p>
      <w:pPr>
        <w:pStyle w:val="9"/>
        <w:spacing w:after="0"/>
        <w:ind w:left="0"/>
        <w:jc w:val="center"/>
        <w:rPr>
          <w:b/>
        </w:rPr>
      </w:pPr>
      <w:r>
        <w:rPr>
          <w:b/>
        </w:rPr>
        <w:t>Дума Большевистского сельского поселения</w:t>
      </w:r>
    </w:p>
    <w:p>
      <w:pPr>
        <w:pStyle w:val="9"/>
        <w:spacing w:after="0"/>
        <w:ind w:left="0"/>
        <w:jc w:val="center"/>
        <w:rPr>
          <w:b/>
          <w:u w:val="single"/>
        </w:rPr>
      </w:pPr>
      <w:r>
        <w:rPr>
          <w:b/>
          <w:u w:val="single"/>
        </w:rPr>
        <w:t>Еланского муниципального района Волгоградской области</w:t>
      </w:r>
    </w:p>
    <w:p>
      <w:pPr>
        <w:pStyle w:val="9"/>
        <w:spacing w:after="0"/>
        <w:ind w:left="0"/>
        <w:jc w:val="center"/>
        <w:rPr>
          <w:b/>
          <w:u w:val="single"/>
        </w:rPr>
      </w:pPr>
    </w:p>
    <w:p>
      <w:pPr>
        <w:pStyle w:val="2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РЕШЕНИЕ  № </w:t>
      </w:r>
      <w:r>
        <w:rPr>
          <w:color w:val="000000" w:themeColor="text1"/>
          <w:sz w:val="24"/>
          <w:szCs w:val="24"/>
        </w:rPr>
        <w:t>119/42</w:t>
      </w:r>
    </w:p>
    <w:p>
      <w:r>
        <w:t>От 28.12.2023г.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приватизации </w:t>
      </w:r>
    </w:p>
    <w:p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находящегося </w:t>
      </w:r>
    </w:p>
    <w:p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</w:p>
    <w:p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1"/>
          <w:sz w:val="28"/>
          <w:szCs w:val="28"/>
          <w:u w:val="single"/>
        </w:rPr>
        <w:t>Большевистского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"consultantplus://offline/ref=4DACFCDCCECCA1D493688BE990FADA77C3749BE5F78DEF220BD6A7FB6F3E534825D3AC0880AB3FD9B0E7A271DBFDEDG"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21.12.2001 № 178-ФЗ                 «О приватизации государственного и муниципального имущества», Федеральным </w:t>
      </w:r>
      <w:r>
        <w:fldChar w:fldCharType="begin"/>
      </w:r>
      <w:r>
        <w:instrText xml:space="preserve"> HYPERLINK "consultantplus://offline/ref=4DACFCDCCECCA1D493688BE990FADA77C37399EDF481EF220BD6A7FB6F3E534825D3AC0880AB3FD9B0E7A271DBFDEDG"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 xml:space="preserve">Большевистского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 е ш и л (а):</w:t>
      </w:r>
    </w:p>
    <w:p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7"/>
        <w:rPr>
          <w:rFonts w:ascii="Times New Roman" w:hAnsi="Times New Roman" w:cs="Times New Roman"/>
        </w:rPr>
      </w:pPr>
    </w:p>
    <w:p>
      <w:pPr>
        <w:pStyle w:val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Признать утратившим(и) силу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Решение Думы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№43/13 от 25 декабря 2020 года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</w:rPr>
        <w:t>Об утверждении Положения "О порядке и условиях приватизации</w:t>
      </w:r>
    </w:p>
    <w:p>
      <w:pPr>
        <w:pStyle w:val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 Большевистского сельского поселения</w:t>
      </w:r>
      <w:r>
        <w:t xml:space="preserve"> </w:t>
      </w:r>
      <w:r>
        <w:rPr>
          <w:rFonts w:ascii="Times New Roman" w:hAnsi="Times New Roman" w:cs="Times New Roman"/>
        </w:rPr>
        <w:t>Еланского муниципального района Волгоградской области»</w:t>
      </w:r>
    </w:p>
    <w:p>
      <w:pPr>
        <w:pStyle w:val="17"/>
        <w:numPr>
          <w:ilvl w:val="0"/>
          <w:numId w:val="1"/>
        </w:num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Утвердить план приватизации муниципального имущества </w:t>
      </w:r>
      <w:r>
        <w:rPr>
          <w:rFonts w:ascii="Times New Roman" w:hAnsi="Times New Roman" w:cs="Times New Roman"/>
        </w:rPr>
        <w:t>Большевистского сельского поселения</w:t>
      </w:r>
      <w:r>
        <w:t xml:space="preserve"> </w:t>
      </w:r>
      <w:r>
        <w:rPr>
          <w:rFonts w:ascii="Times New Roman" w:hAnsi="Times New Roman" w:cs="Times New Roman"/>
        </w:rPr>
        <w:t>Еланского муниципального района Волгоградской области</w:t>
      </w:r>
      <w:r>
        <w:rPr>
          <w:rFonts w:hint="default" w:ascii="Times New Roman" w:hAnsi="Times New Roman" w:cs="Times New Roman"/>
          <w:lang w:val="ru-RU"/>
        </w:rPr>
        <w:t xml:space="preserve"> на 2024-2026г.г.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главу 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iCs/>
          <w:sz w:val="24"/>
        </w:rPr>
        <w:t>Большевистского сельского поселения                     С.Ю.Скуратова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i/>
          <w:iCs/>
          <w:u w:val="single"/>
        </w:rPr>
        <w:t xml:space="preserve">Думы </w:t>
      </w:r>
    </w:p>
    <w:p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декабря 2023г.  № 119/42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приватизации имущества, находящегося в муниципальной собственности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(далее – Положение) разработано в целях реализации положений Федерального</w:t>
      </w:r>
      <w:r>
        <w:fldChar w:fldCharType="begin"/>
      </w:r>
      <w:r>
        <w:instrText xml:space="preserve"> HYPERLINK "consultantplus://offline/ref=4DACFCDCCECCA1D493688BE990FADA77C3749BE5F78DEF220BD6A7FB6F3E534825D3AC0880AB3FD9B0E7A271DBFDEDG"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а от 21.12.2001 № 178-ФЗ «О приватизации государственного и муниципального имущества», Федерального</w:t>
      </w:r>
      <w:r>
        <w:fldChar w:fldCharType="begin"/>
      </w:r>
      <w:r>
        <w:instrText xml:space="preserve"> HYPERLINK "consultantplus://offline/ref=4DACFCDCCECCA1D493688BE990FADA77C37399EDF481EF220BD6A7FB6F3E534825D3AC0880AB3FD9B0E7A271DBFDEDG"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iCs/>
          <w:kern w:val="1"/>
          <w:sz w:val="28"/>
          <w:szCs w:val="24"/>
        </w:rPr>
        <w:t>(далее также – муниципальное имущество)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iCs/>
          <w:kern w:val="1"/>
          <w:sz w:val="28"/>
          <w:szCs w:val="28"/>
        </w:rPr>
        <w:t>(далее – администрация)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осуществляет функции по продаже муниципального имущества</w:t>
      </w:r>
      <w:r>
        <w:rPr>
          <w:rStyle w:val="5"/>
          <w:rFonts w:ascii="Times New Roman" w:hAnsi="Times New Roman" w:cs="Times New Roman"/>
          <w:sz w:val="28"/>
          <w:szCs w:val="28"/>
        </w:rPr>
        <w:footnoteReference w:id="0"/>
      </w:r>
      <w:r>
        <w:rPr>
          <w:rFonts w:ascii="Times New Roman" w:hAnsi="Times New Roman" w:cs="Times New Roman"/>
          <w:sz w:val="28"/>
          <w:szCs w:val="28"/>
        </w:rPr>
        <w:t xml:space="preserve">, а также своими решениями поручает юридическим лицам, указанным в </w:t>
      </w:r>
      <w:r>
        <w:fldChar w:fldCharType="begin"/>
      </w:r>
      <w:r>
        <w:instrText xml:space="preserve"> HYPERLINK "consultantplus://offline/ref=7547878F4207B43094EDAEFA82D305ACFEE0BBD61C5FB3FFD057DD217AA1728A0E93823009FDD661D05F2849E79CFFCA508BA37A9AMEqDL"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8.1 пункта 1 статьи 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продажи приватизируемой муниципальной собственности и (или) осуществления функций продавца.</w:t>
      </w: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>
        <w:rPr>
          <w:rFonts w:ascii="Times New Roman" w:hAnsi="Times New Roman" w:cs="Times New Roman"/>
          <w:sz w:val="28"/>
          <w:szCs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плана(программы) приватизации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прогнозный план приватизации)</w:t>
      </w:r>
      <w:r>
        <w:rPr>
          <w:rStyle w:val="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iCs/>
          <w:kern w:val="1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Думы 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одновременно с проектом бюджета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на 1 июля текущего года;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Дума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рассматривает и утверждает прогнозный план приватизации муниципального имущества одновременно с бюджетом и осуществляет контроль за его исполнением.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кредиты;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Думу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sz w:val="28"/>
          <w:szCs w:val="28"/>
        </w:rPr>
        <w:footnoteReference w:id="2"/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 о результатах приватизации включаются следующие сведения: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Дума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рассматривает и утверждает отчет о результатах приватизации в отчетном году не позднее 14 дней</w:t>
      </w:r>
      <w:r>
        <w:rPr>
          <w:rStyle w:val="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прогнозным планом приватизации.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приватизируемое муниципальное имущество;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решении об условиях приватизации должны содержаться следующие сведения: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–муниципального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Прогнозный план приватизации, отчет о результатах приватизации подлежат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>
        <w:rPr>
          <w:rFonts w:ascii="Times New Roman" w:hAnsi="Times New Roman" w:cs="Times New Roman"/>
          <w:sz w:val="28"/>
          <w:szCs w:val="28"/>
        </w:rPr>
        <w:t>(далее – официальные сайты в сети «Интернет»), не позднее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со дня их утверждения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Думой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официальных сайтах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«Интернет» </w:t>
      </w:r>
      <w:r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Информационное сообщение об итогах продажи муниципального имущества подлежит размещению на официальных сайтах в сети «Интернет», а также на сайте продавца муниципального имущества в сети «Интернет».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/>
    <w:p/>
    <w:p/>
    <w:p/>
    <w:p/>
    <w:p/>
    <w:p/>
    <w:p/>
    <w:p/>
    <w:p/>
    <w:p/>
    <w:p/>
    <w:p/>
    <w:p/>
    <w:p/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 №2</w:t>
      </w:r>
    </w:p>
    <w:p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План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приватизации муниципального имущества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на 2024-2026г.г.</w:t>
      </w:r>
    </w:p>
    <w:p>
      <w:pPr>
        <w:wordWrap/>
        <w:jc w:val="right"/>
        <w:rPr>
          <w:rFonts w:hint="default"/>
          <w:lang w:val="ru-RU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2"/>
        <w:gridCol w:w="5368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2" w:type="dxa"/>
          </w:tcPr>
          <w:p>
            <w:pPr>
              <w:wordWrap w:val="0"/>
              <w:jc w:val="righ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№ п/п</w:t>
            </w:r>
          </w:p>
        </w:tc>
        <w:tc>
          <w:tcPr>
            <w:tcW w:w="5368" w:type="dxa"/>
          </w:tcPr>
          <w:p>
            <w:pPr>
              <w:wordWrap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Наименование имущества</w:t>
            </w:r>
          </w:p>
        </w:tc>
        <w:tc>
          <w:tcPr>
            <w:tcW w:w="3190" w:type="dxa"/>
          </w:tcPr>
          <w:p>
            <w:pPr>
              <w:wordWrap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Год приватизации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2" w:type="dxa"/>
          </w:tcPr>
          <w:p>
            <w:pPr>
              <w:wordWrap/>
              <w:jc w:val="righ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5368" w:type="dxa"/>
          </w:tcPr>
          <w:p>
            <w:pPr>
              <w:wordWrap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дом, кадастровый № 34:06:230006:944, общей площадью 115,7 кв.м., с земельным участком из категории земель населенных пунктов для ведения личного подсобного хозяйства кадастровый № 34:06:230006:26 общей площадью 1878 кв.м, расположенный по адресу: Волгоградская область, Еланский р-н, х. Маринский, ул. Широкая, д.2. Обременений на имущество не зарегистрировано. Год постройки: 2002</w:t>
            </w:r>
          </w:p>
        </w:tc>
        <w:tc>
          <w:tcPr>
            <w:tcW w:w="3190" w:type="dxa"/>
          </w:tcPr>
          <w:p>
            <w:pPr>
              <w:wordWrap/>
              <w:jc w:val="righ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2024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2" w:type="dxa"/>
          </w:tcPr>
          <w:p>
            <w:pPr>
              <w:wordWrap/>
              <w:jc w:val="right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5368" w:type="dxa"/>
          </w:tcPr>
          <w:p>
            <w:pPr>
              <w:wordWrap/>
              <w:jc w:val="right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>
            <w:pPr>
              <w:wordWrap/>
              <w:jc w:val="right"/>
              <w:rPr>
                <w:rFonts w:hint="default"/>
                <w:vertAlign w:val="baseline"/>
                <w:lang w:val="ru-RU"/>
              </w:rPr>
            </w:pPr>
          </w:p>
        </w:tc>
      </w:tr>
    </w:tbl>
    <w:p>
      <w:pPr>
        <w:wordWrap/>
        <w:jc w:val="right"/>
        <w:rPr>
          <w:rFonts w:hint="default"/>
          <w:lang w:val="ru-RU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>
      <w:pPr>
        <w:pStyle w:val="8"/>
        <w:jc w:val="both"/>
      </w:pPr>
      <w:r>
        <w:rPr>
          <w:rStyle w:val="5"/>
        </w:rPr>
        <w:footnoteRef/>
      </w:r>
      <w:r>
        <w:t xml:space="preserve"> Функции по продаже муниципального имущества вправе осуществлять структурные подразделения местной администрации </w:t>
      </w:r>
      <w:r>
        <w:rPr>
          <w:u w:val="single"/>
        </w:rPr>
        <w:t>исключительно от имени местной администрации</w:t>
      </w:r>
      <w:r>
        <w:t xml:space="preserve"> в рамках полномочий, закрепленных в положении о соответствующем структурном подразделении.</w:t>
      </w:r>
    </w:p>
    <w:p>
      <w:pPr>
        <w:pStyle w:val="8"/>
      </w:pPr>
    </w:p>
  </w:footnote>
  <w:footnote w:id="1">
    <w:p>
      <w:pPr>
        <w:pStyle w:val="8"/>
        <w:jc w:val="both"/>
      </w:pPr>
      <w:r>
        <w:rPr>
          <w:rStyle w:val="5"/>
        </w:rPr>
        <w:footnoteRef/>
      </w:r>
      <w:r>
        <w:t xml:space="preserve"> Представительный орган муниципального образования самостоятельно определяет название акта планирования приватизации муниципального имущества.</w:t>
      </w:r>
    </w:p>
  </w:footnote>
  <w:footnote w:id="2">
    <w:p>
      <w:pPr>
        <w:pStyle w:val="8"/>
        <w:jc w:val="both"/>
      </w:pPr>
      <w:r>
        <w:rPr>
          <w:rStyle w:val="5"/>
        </w:rPr>
        <w:footnoteRef/>
      </w:r>
      <w:r>
        <w:t>В случае, если положением о бюджетном процессе муниципального образования не предусмотрено представление отчета о результатах приватизации одновременно с годовым отчетом об исполнении бюджета муниципального образования, то срок представления отчета о результатах приватизации определяется представительным органом в данном пункте.</w:t>
      </w:r>
    </w:p>
  </w:footnote>
  <w:footnote w:id="3">
    <w:p>
      <w:pPr>
        <w:pStyle w:val="8"/>
      </w:pPr>
      <w:r>
        <w:rPr>
          <w:rStyle w:val="5"/>
        </w:rPr>
        <w:footnoteRef/>
      </w:r>
      <w:r>
        <w:t>Определяется представительным органом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33E2C"/>
    <w:multiLevelType w:val="singleLevel"/>
    <w:tmpl w:val="FC233E2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5F6A"/>
    <w:rsid w:val="00042CB1"/>
    <w:rsid w:val="001112CA"/>
    <w:rsid w:val="002519D3"/>
    <w:rsid w:val="0027100D"/>
    <w:rsid w:val="002856FB"/>
    <w:rsid w:val="00307C95"/>
    <w:rsid w:val="00314254"/>
    <w:rsid w:val="00331BD0"/>
    <w:rsid w:val="003776F9"/>
    <w:rsid w:val="003F71E8"/>
    <w:rsid w:val="004145B4"/>
    <w:rsid w:val="00471F38"/>
    <w:rsid w:val="00493196"/>
    <w:rsid w:val="005436CD"/>
    <w:rsid w:val="00545443"/>
    <w:rsid w:val="0056235F"/>
    <w:rsid w:val="005A301F"/>
    <w:rsid w:val="0062143F"/>
    <w:rsid w:val="0063159A"/>
    <w:rsid w:val="00647050"/>
    <w:rsid w:val="006A7275"/>
    <w:rsid w:val="00755BD7"/>
    <w:rsid w:val="007641B3"/>
    <w:rsid w:val="007D25FE"/>
    <w:rsid w:val="007D5F6A"/>
    <w:rsid w:val="008343C1"/>
    <w:rsid w:val="00854E04"/>
    <w:rsid w:val="0087280E"/>
    <w:rsid w:val="00951431"/>
    <w:rsid w:val="009959F7"/>
    <w:rsid w:val="00996A7E"/>
    <w:rsid w:val="009A074C"/>
    <w:rsid w:val="009C41FE"/>
    <w:rsid w:val="00B4413B"/>
    <w:rsid w:val="00BA0E42"/>
    <w:rsid w:val="00BF7E99"/>
    <w:rsid w:val="00C43DF6"/>
    <w:rsid w:val="00CC4114"/>
    <w:rsid w:val="00CE1944"/>
    <w:rsid w:val="00CF56F6"/>
    <w:rsid w:val="00D3249D"/>
    <w:rsid w:val="00D977D8"/>
    <w:rsid w:val="00DA3D3E"/>
    <w:rsid w:val="00DF4B08"/>
    <w:rsid w:val="00E63AEF"/>
    <w:rsid w:val="00EE0607"/>
    <w:rsid w:val="00F76623"/>
    <w:rsid w:val="00FD415B"/>
    <w:rsid w:val="00FF60A4"/>
    <w:rsid w:val="7632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">
    <w:name w:val="Body Text Indent"/>
    <w:basedOn w:val="1"/>
    <w:link w:val="16"/>
    <w:semiHidden/>
    <w:unhideWhenUsed/>
    <w:uiPriority w:val="99"/>
    <w:pPr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0">
    <w:name w:val="HTML Preformatted"/>
    <w:basedOn w:val="1"/>
    <w:link w:val="14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1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Текст сноски Знак"/>
    <w:basedOn w:val="3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4">
    <w:name w:val="Стандартный HTML Знак"/>
    <w:basedOn w:val="3"/>
    <w:link w:val="10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5">
    <w:name w:val="Заголовок 2 Знак"/>
    <w:basedOn w:val="3"/>
    <w:link w:val="2"/>
    <w:uiPriority w:val="0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customStyle="1" w:styleId="16">
    <w:name w:val="Основной текст с отступом Знак"/>
    <w:basedOn w:val="3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17">
    <w:name w:val="Heading"/>
    <w:qFormat/>
    <w:uiPriority w:val="0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8"/>
      <w:szCs w:val="28"/>
      <w:lang w:val="ru-RU" w:eastAsia="ru-RU" w:bidi="ar-SA"/>
    </w:rPr>
  </w:style>
  <w:style w:type="character" w:customStyle="1" w:styleId="1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13B3-4EF4-45DD-861F-B8989EDF8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2590</Words>
  <Characters>14763</Characters>
  <Lines>123</Lines>
  <Paragraphs>34</Paragraphs>
  <TotalTime>0</TotalTime>
  <ScaleCrop>false</ScaleCrop>
  <LinksUpToDate>false</LinksUpToDate>
  <CharactersWithSpaces>17319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2023-12-29T07:40:00Z</dcterms:created>
  <dc:creator>SASHA</dc:creator>
  <cp:lastModifiedBy>WPS_1707284672</cp:lastModifiedBy>
  <cp:lastPrinted>2024-01-22T05:13:00Z</cp:lastPrinted>
  <dcterms:modified xsi:type="dcterms:W3CDTF">2024-03-21T07:52:20Z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EB0E024849454FD59CD64F4DDF254C6C_12</vt:lpwstr>
  </property>
</Properties>
</file>