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БОЛЬШЕВИСТСКОГО СЕЛЬСКОГО ПОСЕЛЕНИЯ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ЕЛАНСКОГО МУНИЦИПАЛЬНОГО РАЙОНА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09.01.2023г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№ 3</w:t>
      </w:r>
    </w:p>
    <w:p>
      <w:pPr>
        <w:rPr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целевой программы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 на территории Большевистского сельского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на 2023 г.»</w:t>
      </w:r>
    </w:p>
    <w:p/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Большевистского сельского поселения Еланского муниципального района Волгоградской области, постановляю: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муниципальную целевую программу «Развитие культуры на территории Большевистского сельского поселения на 2023 г».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2.Контроль за исполнением настоящего постановления возложить на директора МКУК </w:t>
      </w:r>
      <w:r>
        <w:rPr>
          <w:rFonts w:hint="default" w:ascii="Times New Roman" w:hAnsi="Times New Roman"/>
          <w:sz w:val="28"/>
          <w:szCs w:val="28"/>
        </w:rPr>
        <w:t>«</w:t>
      </w:r>
      <w:r>
        <w:rPr>
          <w:rFonts w:hint="default" w:ascii="Times New Roman" w:hAnsi="Times New Roman"/>
          <w:sz w:val="28"/>
          <w:szCs w:val="28"/>
          <w:lang w:val="ru-RU"/>
        </w:rPr>
        <w:t>Ц</w:t>
      </w:r>
      <w:r>
        <w:rPr>
          <w:rFonts w:hint="default" w:ascii="Times New Roman" w:hAnsi="Times New Roman"/>
          <w:sz w:val="28"/>
          <w:szCs w:val="28"/>
        </w:rPr>
        <w:t>ентр культуры и библиотечного обслуживания «Большевистский»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действие с момента его обнародования и распространяет свое действие на правоотношения, возникшие с 01.01.2023г.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Большевистского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С.Ю. Скуратова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Большевистского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 января 2023 г. № 3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целевой программы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 на территории Большевистского сельского поселения на 2023 г»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средств бюджета Большевистского   сельского поселения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Большевистского сельского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культуры на территории Большевистского сельского поселения на 2023 г»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-Улучшение условий для opганизации досуга и обеспечения жителей поселения услугами организаций культуры.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и осуществление мероприятий по работе с детьми и молодежью в поселении.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осуществления мероприятий по работе с социально –незащищёнными слоями населения (дети из неблагополучных семей, пожилые).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библиотечного обслуживания населения, комплектование и обеспечение сохранности библиотечных фондов библиотеки поселения.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-Сохранение культурного наследия;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качества услуг в сфере культуры в сельском поселении.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-Сохранение и улучшение материально-технической базы учреждения культуры.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-Содействие патриотическому и духовно-нравственному воспитанию молодежи, поддержка талантливой молодежи, молодежных социально значимых инициатив.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-Поддержка коллективов народного творчества.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эффективности бюджетных расходов.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                                                            показатели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культурно-досуговых мероприятий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посещающих культурно-досуговые мероприятия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участников в культурно-досуговых формированиях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6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программных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субсиди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из областного бюджета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бюджету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текущего ремонта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укрепления материально-технической базы муниципальных домов культуры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 населённых пунктах с числом жителей до 50 тысяч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1113749,61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руб.- средства местного бюджета –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54927,84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1168677, 45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населения Большевистского сельского поселения в культурно-массовых мероприятиях.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-Модернизация материально-технической базы подведомственного учреждения культуры.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-Расширение услуг, оказываемых учреждением культуры.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доли молодых граждан, принимающих участие в мероприятиях по гражданско-патриотическому, духовно-нравственному воспитанию.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книговыдачи в отделениях библиотек.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уровня доступности объектов культуры для инвалидов и других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 групп населения.</w:t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5"/>
        <w:spacing w:before="1" w:line="235" w:lineRule="auto"/>
      </w:pPr>
      <w:r>
        <w:rPr>
          <w:b/>
        </w:rPr>
        <w:t>1.</w:t>
      </w:r>
      <w:r>
        <w:rPr>
          <w:color w:val="343434"/>
        </w:rPr>
        <w:t xml:space="preserve"> </w:t>
      </w:r>
      <w:r>
        <w:rPr>
          <w:color w:val="343434"/>
          <w:spacing w:val="-18"/>
        </w:rPr>
        <w:t xml:space="preserve"> </w:t>
      </w:r>
      <w:r>
        <w:rPr>
          <w:color w:val="313131"/>
        </w:rPr>
        <w:t>Обобщенная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характеристика</w:t>
      </w:r>
      <w:r>
        <w:rPr>
          <w:color w:val="313131"/>
          <w:spacing w:val="-18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мероприятий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муниципальной </w:t>
      </w:r>
      <w:r>
        <w:rPr>
          <w:color w:val="333333"/>
          <w:spacing w:val="-2"/>
        </w:rPr>
        <w:t>программы</w:t>
      </w:r>
    </w:p>
    <w:p>
      <w:pPr>
        <w:pStyle w:val="5"/>
        <w:spacing w:before="4"/>
        <w:rPr>
          <w:sz w:val="24"/>
        </w:rPr>
      </w:pPr>
    </w:p>
    <w:p>
      <w:pPr>
        <w:pStyle w:val="5"/>
        <w:ind w:left="292" w:right="309"/>
        <w:jc w:val="both"/>
      </w:pPr>
      <w:r>
        <w:rPr>
          <w:color w:val="313131"/>
        </w:rPr>
        <w:t xml:space="preserve">Основные мероприятия </w:t>
      </w:r>
      <w:r>
        <w:rPr>
          <w:color w:val="2F2F2F"/>
        </w:rPr>
        <w:t xml:space="preserve">Программы </w:t>
      </w:r>
      <w:r>
        <w:rPr>
          <w:color w:val="383838"/>
        </w:rPr>
        <w:t xml:space="preserve">- </w:t>
      </w:r>
      <w:r>
        <w:rPr>
          <w:color w:val="343434"/>
        </w:rPr>
        <w:t xml:space="preserve">это </w:t>
      </w:r>
      <w:r>
        <w:rPr>
          <w:color w:val="313131"/>
        </w:rPr>
        <w:t>основные направления</w:t>
      </w:r>
      <w:r>
        <w:rPr>
          <w:color w:val="313131"/>
          <w:spacing w:val="80"/>
        </w:rPr>
        <w:t xml:space="preserve"> </w:t>
      </w:r>
      <w:r>
        <w:rPr>
          <w:color w:val="2D2D2D"/>
        </w:rPr>
        <w:t>работы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учреждений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культуры,</w:t>
      </w:r>
      <w:r>
        <w:rPr>
          <w:color w:val="2D2D2D"/>
          <w:spacing w:val="-4"/>
        </w:rPr>
        <w:t xml:space="preserve"> </w:t>
      </w:r>
      <w:r>
        <w:rPr>
          <w:color w:val="2F2F2F"/>
        </w:rPr>
        <w:t>соответствующие</w:t>
      </w:r>
      <w:r>
        <w:rPr>
          <w:color w:val="2F2F2F"/>
          <w:spacing w:val="-18"/>
        </w:rPr>
        <w:t xml:space="preserve"> </w:t>
      </w:r>
      <w:r>
        <w:rPr>
          <w:color w:val="313131"/>
        </w:rPr>
        <w:t>целям</w:t>
      </w:r>
      <w:r>
        <w:rPr>
          <w:color w:val="313131"/>
          <w:spacing w:val="-11"/>
        </w:rPr>
        <w:t xml:space="preserve"> </w:t>
      </w:r>
      <w:r>
        <w:rPr>
          <w:color w:val="2F2F2F"/>
        </w:rPr>
        <w:t>их</w:t>
      </w:r>
      <w:r>
        <w:rPr>
          <w:color w:val="2F2F2F"/>
          <w:spacing w:val="-14"/>
        </w:rPr>
        <w:t xml:space="preserve"> </w:t>
      </w:r>
      <w:r>
        <w:rPr>
          <w:color w:val="313131"/>
        </w:rPr>
        <w:t xml:space="preserve">создания. Развитие </w:t>
      </w:r>
      <w:r>
        <w:rPr>
          <w:color w:val="2F2F2F"/>
        </w:rPr>
        <w:t xml:space="preserve">учреждений </w:t>
      </w:r>
      <w:r>
        <w:rPr>
          <w:color w:val="2D2D2D"/>
        </w:rPr>
        <w:t xml:space="preserve">культуры, </w:t>
      </w:r>
      <w:r>
        <w:rPr>
          <w:color w:val="343434"/>
        </w:rPr>
        <w:t xml:space="preserve">а </w:t>
      </w:r>
      <w:r>
        <w:rPr>
          <w:color w:val="313131"/>
        </w:rPr>
        <w:t xml:space="preserve">следовательно </w:t>
      </w:r>
      <w:r>
        <w:rPr>
          <w:color w:val="343434"/>
        </w:rPr>
        <w:t xml:space="preserve">и </w:t>
      </w:r>
      <w:r>
        <w:rPr>
          <w:color w:val="363636"/>
        </w:rPr>
        <w:t xml:space="preserve">всей </w:t>
      </w:r>
      <w:r>
        <w:rPr>
          <w:color w:val="313131"/>
        </w:rPr>
        <w:t xml:space="preserve">сферы культуры, в </w:t>
      </w:r>
      <w:r>
        <w:rPr>
          <w:color w:val="2D2D2D"/>
        </w:rPr>
        <w:t xml:space="preserve">целом, </w:t>
      </w:r>
      <w:r>
        <w:rPr>
          <w:color w:val="2F2F2F"/>
        </w:rPr>
        <w:t xml:space="preserve">немыслимо </w:t>
      </w:r>
      <w:r>
        <w:rPr>
          <w:color w:val="313131"/>
        </w:rPr>
        <w:t xml:space="preserve">без </w:t>
      </w:r>
      <w:r>
        <w:rPr>
          <w:color w:val="333333"/>
        </w:rPr>
        <w:t xml:space="preserve">динамики. Перечень основных </w:t>
      </w:r>
      <w:r>
        <w:rPr>
          <w:color w:val="2D2D2D"/>
        </w:rPr>
        <w:t xml:space="preserve">мероприятий </w:t>
      </w:r>
      <w:r>
        <w:rPr>
          <w:color w:val="333333"/>
        </w:rPr>
        <w:t xml:space="preserve">и </w:t>
      </w:r>
      <w:r>
        <w:rPr>
          <w:color w:val="363636"/>
        </w:rPr>
        <w:t xml:space="preserve">их </w:t>
      </w:r>
      <w:r>
        <w:rPr>
          <w:color w:val="2F2F2F"/>
        </w:rPr>
        <w:t xml:space="preserve">характеризующие </w:t>
      </w:r>
      <w:r>
        <w:rPr>
          <w:color w:val="313131"/>
        </w:rPr>
        <w:t xml:space="preserve">показатели </w:t>
      </w:r>
      <w:r>
        <w:rPr>
          <w:color w:val="333333"/>
        </w:rPr>
        <w:t xml:space="preserve">отражают </w:t>
      </w:r>
      <w:r>
        <w:rPr>
          <w:color w:val="343434"/>
        </w:rPr>
        <w:t xml:space="preserve">динамику </w:t>
      </w:r>
      <w:r>
        <w:rPr>
          <w:color w:val="313131"/>
        </w:rPr>
        <w:t xml:space="preserve">развития, </w:t>
      </w:r>
      <w:r>
        <w:rPr>
          <w:color w:val="2F2F2F"/>
        </w:rPr>
        <w:t xml:space="preserve">способствуют </w:t>
      </w:r>
      <w:r>
        <w:rPr>
          <w:color w:val="313131"/>
        </w:rPr>
        <w:t xml:space="preserve">достижению </w:t>
      </w:r>
      <w:r>
        <w:rPr>
          <w:color w:val="2F2F2F"/>
        </w:rPr>
        <w:t xml:space="preserve">основных </w:t>
      </w:r>
      <w:r>
        <w:rPr>
          <w:color w:val="313131"/>
        </w:rPr>
        <w:t xml:space="preserve">целей </w:t>
      </w:r>
      <w:r>
        <w:rPr>
          <w:color w:val="333333"/>
        </w:rPr>
        <w:t xml:space="preserve">и </w:t>
      </w:r>
      <w:r>
        <w:rPr>
          <w:color w:val="343434"/>
        </w:rPr>
        <w:t xml:space="preserve">решению задач </w:t>
      </w:r>
      <w:r>
        <w:rPr>
          <w:color w:val="313131"/>
        </w:rPr>
        <w:t>Программы.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Цели, задачи, сроки и этапы реализации муниципальной программы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являются:</w:t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решение вопросов местного значения сельского поселения по созданию условий для организации досуга и обеспечения жителей поселения услугами организаций культуры;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-эффективное использование свободного времени и обеспечение возможности активного творческого развития населения различных возрастных категорий.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работе со всеми группами поселения;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создание условий для развития местного традиционного народного художественного творчества.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целей программы необходимо решение задач: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-увеличение числа и улучшения качества культурно-досуговых мероприятий;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-поддержка коллективов художественной самодеятельности;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-выявление и поддержка творческой одаренной молодежи;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-внедрение и распространение новых информационных технологий в сфере культуры;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-увеличение объемов и качества услуг в сфере культурного досуга населения;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-сохранение и улучшение материально-технической базы учреждения культуры;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-содействие патриотическому и духовно-нравственному воспитанию молодежи;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-развитие библиотечного дела и популяризация чтения.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значения целевых показателей и индикаторов реализации муниципальной целевой программы: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115"/>
        <w:gridCol w:w="3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индикатора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Культурно-досуговая деятельность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 развитие народного творчества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Количество</w:t>
            </w:r>
          </w:p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культурно-досуговых мероприятий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2Количество посещающих</w:t>
            </w:r>
          </w:p>
          <w:p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культурно-досуговые мероприятия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Количество</w:t>
            </w:r>
          </w:p>
          <w:p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культурно-досуговых формирований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>
            <w:pPr>
              <w:pStyle w:val="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Количество участников в</w:t>
            </w:r>
          </w:p>
          <w:p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культурно-досуговых формированиях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2023 г. Этапы программы не выделяются.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3.Перечень и описание программных мероприятий.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намеченных целей и решения поставленных задач в рамках Программы предусматривается организация и проведение следующих основных мероприятий: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 и укрепление материально-технической базы муниципального бюджетного учреждения культуры;</w:t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проведение праздничных и культурно-массовых мероприятий для населения;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проведение конкурсов, тематических вечеров, познавательных программ для детей и молодежи, направленных на патриотическое и духовно-нравственное воспитание молодого поколения;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организация досуга жителей сельского поселения;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организация кружковой работы;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возрождение и развитие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народного художественного промысла.</w:t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основных мероприятий Программы приведена в перечне мероприятий Программы (приложение № I к Программе). Мероприятия сгруппированы в соответствии с задачами программы.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4.Обьёмы и источники финансирования муниципальной целевой программы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Программой предусмотрено финансирование расходов, необходимых для модернизации материально-технической базы учреждений культуры в размере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1113749,61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и источники финансирования муниципальной целевой программы: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 финансирования( 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pStyle w:val="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                  из областного бюджета на обеспечение развития и укрепления материально-технической базы муниципальных домов культуры</w:t>
            </w:r>
          </w:p>
          <w:p>
            <w:pPr>
              <w:pStyle w:val="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1113749,61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54927,84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1168677,45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5.Ожидаемые результаты муниципальной целевой  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программы «Развитие культуры на территории Большевистского сельского поселения на 2023 г» позволит достичь следующих результатов: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услуг, увеличение количества проводимых учреждениями культуры мероприятий, и, как следствие, повышение удельного веса населения (в том числе детей и молодежи), участвующего в культурно-массовых мероприятиях;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доступности всех социальных слоев населения к ценностям отечественной и мировой культуры, а также информации в сфере культуры;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спектра и улучшение качества предоставляемых услуг в сфере, культуры;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рейтинга культурного развития поселения;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 закрепление кадрового потенциала культуры;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-доведение размера средней заработной платы работников учреждений культуры до уровня средней заработной платы в Волгоградской области.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значения целевых показателей и индикаторов по годам реализации муниципальной целевой программы: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115"/>
        <w:gridCol w:w="3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измерен.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1.Культурно-досуговая деятельность и развитие народного творчества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1.1.Количество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культурно-досуговых мероприятий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1.2.Количество посещающих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культурно-досуговые мероприятия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1.3.Количество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культурно-досуговых формирований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1.4.Количество участников 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культурно-досуговых формированиях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6.Оценка эффективности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целевой   программы:</w:t>
      </w:r>
    </w:p>
    <w:tbl>
      <w:tblPr>
        <w:tblStyle w:val="3"/>
        <w:tblW w:w="9305" w:type="dxa"/>
        <w:tblInd w:w="-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7"/>
        <w:gridCol w:w="2820"/>
        <w:gridCol w:w="1409"/>
        <w:gridCol w:w="408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0" w:hRule="exac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измерения.</w:t>
            </w: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количества: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" w:hRule="exact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14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культурно-досуговых формирований</w:t>
            </w:r>
          </w:p>
        </w:tc>
        <w:tc>
          <w:tcPr>
            <w:tcW w:w="14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9" w:hRule="exact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Увеличение: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exact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посещаемости мероприятий </w:t>
            </w:r>
          </w:p>
        </w:tc>
        <w:tc>
          <w:tcPr>
            <w:tcW w:w="14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0" w:hRule="exact"/>
        </w:trPr>
        <w:tc>
          <w:tcPr>
            <w:tcW w:w="98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hd w:val="clear" w:color="auto" w:fill="auto"/>
              <w:tabs>
                <w:tab w:val="left" w:pos="2045"/>
                <w:tab w:val="left" w:pos="4133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Количества участников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</w:t>
            </w:r>
          </w:p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культурно-досуговых формированиях</w:t>
            </w:r>
          </w:p>
        </w:tc>
        <w:tc>
          <w:tcPr>
            <w:tcW w:w="14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Организация управления муниципальной целевой 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Программой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целевая программа «Развитие культуры на территории Большевистского сельского поселения на 2023 г.» реализуется администрацией сельского поселения.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«Центр культуры и библиотечного обслуживания «Большевистский» сельского поселения несет ответственность за решение задач муниципальной целевой программы и обеспечение достижения утвержденных значений целевых индикаторов.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ходом реализации муниципальной целевой программы осуществляет администрация Большевистского сельского поселения.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Отчеты о выполнении муниципальной целевой программы, включая меры по повышению эффективности ее реализации за полугодие, а также по итогам года, представляются директором МКУК «Центр культуры и библиотечного обслуживания «Большевистский» в администрацию Большевистского   сельского поселения Еланского муниципального района Волгоградской области                                                                                                          Приложение № 1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муниципальной целевой программы Большевистского сельского поселения на 2023 год: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4"/>
        <w:gridCol w:w="1587"/>
        <w:gridCol w:w="1390"/>
        <w:gridCol w:w="850"/>
        <w:gridCol w:w="1542"/>
        <w:gridCol w:w="31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5" w:hRule="exac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реализации </w:t>
            </w:r>
            <w:r>
              <w:rPr>
                <w:sz w:val="28"/>
                <w:szCs w:val="28"/>
                <w:lang w:bidi="en-US"/>
              </w:rPr>
              <w:t>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и финансирования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</w:p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(год) </w:t>
            </w: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(тыс. руб.)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выполнение мероприятия Программы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4" w:hRule="exac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>
            <w:pPr>
              <w:pStyle w:val="9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>
            <w:pPr>
              <w:pStyle w:val="9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>
            <w:pPr>
              <w:pStyle w:val="9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>
            <w:pPr>
              <w:pStyle w:val="9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>
            <w:pPr>
              <w:pStyle w:val="9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Большевистского сельского</w:t>
            </w:r>
          </w:p>
          <w:p>
            <w:pPr>
              <w:pStyle w:val="9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" w:hRule="exact"/>
        </w:trPr>
        <w:tc>
          <w:tcPr>
            <w:tcW w:w="22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1                  2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" w:hRule="exact"/>
        </w:trPr>
        <w:tc>
          <w:tcPr>
            <w:tcW w:w="2291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39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2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</w:t>
            </w:r>
          </w:p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мероприятие: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9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Большевистского сельског</w:t>
            </w:r>
            <w:bookmarkStart w:id="0" w:name="_GoBack"/>
            <w:bookmarkEnd w:id="0"/>
            <w:r>
              <w:rPr>
                <w:sz w:val="28"/>
                <w:szCs w:val="28"/>
              </w:rPr>
              <w:t>о поселения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5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субсиди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из областного бюджета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бюджету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текущего ремонта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укрепления материально-технической базы муниципальных домов культуры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 населённых пунктах с числом жителей до 50 тысяч человек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Областной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бюджет-1113749,61руб.,</w:t>
            </w:r>
          </w:p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Местный бюджет- 54927,84 руб.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1168677,45 руб.</w:t>
            </w:r>
          </w:p>
        </w:tc>
        <w:tc>
          <w:tcPr>
            <w:tcW w:w="3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</w:trPr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  <w:lang w:bidi="en-US"/>
              </w:rPr>
              <w:t xml:space="preserve">по  </w:t>
            </w:r>
            <w:r>
              <w:rPr>
                <w:sz w:val="28"/>
                <w:szCs w:val="28"/>
              </w:rPr>
              <w:t>Программе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1168677,45 руб.</w:t>
            </w:r>
          </w:p>
        </w:tc>
        <w:tc>
          <w:tcPr>
            <w:tcW w:w="3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2C354F"/>
    <w:multiLevelType w:val="multilevel"/>
    <w:tmpl w:val="082C354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24A11"/>
    <w:multiLevelType w:val="multilevel"/>
    <w:tmpl w:val="14024A1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1166B"/>
    <w:multiLevelType w:val="multilevel"/>
    <w:tmpl w:val="4621166B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13131"/>
    <w:multiLevelType w:val="multilevel"/>
    <w:tmpl w:val="5201313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113C8"/>
    <w:multiLevelType w:val="multilevel"/>
    <w:tmpl w:val="5C8113C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11"/>
    <w:rsid w:val="00050A9F"/>
    <w:rsid w:val="00075EC6"/>
    <w:rsid w:val="000A00DB"/>
    <w:rsid w:val="000A2441"/>
    <w:rsid w:val="00124A31"/>
    <w:rsid w:val="00125C32"/>
    <w:rsid w:val="001E5273"/>
    <w:rsid w:val="00245CB9"/>
    <w:rsid w:val="002F4FF6"/>
    <w:rsid w:val="003A09A7"/>
    <w:rsid w:val="003E4ACD"/>
    <w:rsid w:val="00406DAC"/>
    <w:rsid w:val="00440F47"/>
    <w:rsid w:val="004809DC"/>
    <w:rsid w:val="004D76AB"/>
    <w:rsid w:val="00503C23"/>
    <w:rsid w:val="0052054E"/>
    <w:rsid w:val="005C52FE"/>
    <w:rsid w:val="005D33CE"/>
    <w:rsid w:val="005E315F"/>
    <w:rsid w:val="00681DA9"/>
    <w:rsid w:val="0068320E"/>
    <w:rsid w:val="007C4E5F"/>
    <w:rsid w:val="007D05DC"/>
    <w:rsid w:val="0082351F"/>
    <w:rsid w:val="008F274B"/>
    <w:rsid w:val="00947311"/>
    <w:rsid w:val="009806FE"/>
    <w:rsid w:val="009F182A"/>
    <w:rsid w:val="009F3969"/>
    <w:rsid w:val="009F3CBB"/>
    <w:rsid w:val="00A43883"/>
    <w:rsid w:val="00A56E71"/>
    <w:rsid w:val="00AA235B"/>
    <w:rsid w:val="00AE3947"/>
    <w:rsid w:val="00B404B2"/>
    <w:rsid w:val="00B66F2D"/>
    <w:rsid w:val="00BC4357"/>
    <w:rsid w:val="00C041C7"/>
    <w:rsid w:val="00C13A1D"/>
    <w:rsid w:val="00CA3B92"/>
    <w:rsid w:val="00CD2CB8"/>
    <w:rsid w:val="00D02006"/>
    <w:rsid w:val="00D365E3"/>
    <w:rsid w:val="00D57913"/>
    <w:rsid w:val="00D6775D"/>
    <w:rsid w:val="00D74FEA"/>
    <w:rsid w:val="00D85CF1"/>
    <w:rsid w:val="00D9331D"/>
    <w:rsid w:val="00DE7CD3"/>
    <w:rsid w:val="00E26FDE"/>
    <w:rsid w:val="00E71873"/>
    <w:rsid w:val="00E8560E"/>
    <w:rsid w:val="00EF5870"/>
    <w:rsid w:val="00F11954"/>
    <w:rsid w:val="00F337DD"/>
    <w:rsid w:val="294437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0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Другое_"/>
    <w:basedOn w:val="2"/>
    <w:link w:val="9"/>
    <w:uiPriority w:val="0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customStyle="1" w:styleId="9">
    <w:name w:val="Другое"/>
    <w:basedOn w:val="1"/>
    <w:link w:val="8"/>
    <w:qFormat/>
    <w:uiPriority w:val="0"/>
    <w:pPr>
      <w:widowControl w:val="0"/>
      <w:shd w:val="clear" w:color="auto" w:fill="FFFFFF"/>
      <w:spacing w:after="0" w:line="271" w:lineRule="auto"/>
      <w:ind w:firstLine="400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10">
    <w:name w:val="Основной текст Знак"/>
    <w:basedOn w:val="2"/>
    <w:link w:val="5"/>
    <w:uiPriority w:val="1"/>
    <w:rPr>
      <w:rFonts w:ascii="Times New Roman" w:hAnsi="Times New Roman" w:eastAsia="Times New Roman" w:cs="Times New Roman"/>
      <w:sz w:val="28"/>
      <w:szCs w:val="28"/>
    </w:rPr>
  </w:style>
  <w:style w:type="paragraph" w:customStyle="1" w:styleId="11">
    <w:name w:val="1 Знак"/>
    <w:basedOn w:val="1"/>
    <w:qFormat/>
    <w:uiPriority w:val="99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character" w:customStyle="1" w:styleId="12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1730</Words>
  <Characters>9863</Characters>
  <Lines>82</Lines>
  <Paragraphs>23</Paragraphs>
  <TotalTime>1</TotalTime>
  <ScaleCrop>false</ScaleCrop>
  <LinksUpToDate>false</LinksUpToDate>
  <CharactersWithSpaces>11570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2023-01-12T10:17:00Z</dcterms:created>
  <dc:creator>Веприцкая Анна Геннадьевна</dc:creator>
  <cp:lastModifiedBy>user</cp:lastModifiedBy>
  <cp:lastPrinted>2023-03-29T12:53:14Z</cp:lastPrinted>
  <dcterms:modified xsi:type="dcterms:W3CDTF">2023-03-29T12:53:28Z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19B0A2E1F4F24C6E84941639940F5AEE</vt:lpwstr>
  </property>
</Properties>
</file>